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3A5" w:rsidRPr="00B01E44" w:rsidRDefault="008F0EFB" w:rsidP="008F0EFB">
      <w:pPr>
        <w:jc w:val="center"/>
        <w:rPr>
          <w:b/>
          <w:i/>
          <w:sz w:val="18"/>
          <w:szCs w:val="18"/>
          <w:u w:val="single"/>
        </w:rPr>
      </w:pPr>
      <w:r>
        <w:rPr>
          <w:b/>
          <w:i/>
          <w:sz w:val="28"/>
          <w:szCs w:val="28"/>
          <w:u w:val="single"/>
        </w:rPr>
        <w:t>PLANNER / PRESENTER</w:t>
      </w:r>
      <w:r w:rsidR="000803A5" w:rsidRPr="00B01E44">
        <w:rPr>
          <w:b/>
          <w:i/>
          <w:sz w:val="28"/>
          <w:szCs w:val="28"/>
          <w:u w:val="single"/>
        </w:rPr>
        <w:t xml:space="preserve"> DECLARATIO</w:t>
      </w:r>
      <w:r>
        <w:rPr>
          <w:b/>
          <w:i/>
          <w:sz w:val="28"/>
          <w:szCs w:val="28"/>
          <w:u w:val="single"/>
        </w:rPr>
        <w:t>N FORM</w:t>
      </w:r>
    </w:p>
    <w:p w:rsidR="000803A5" w:rsidRPr="00A35AB0" w:rsidRDefault="00A35AB0" w:rsidP="000803A5">
      <w:pPr>
        <w:ind w:left="360" w:hanging="360"/>
        <w:jc w:val="center"/>
        <w:rPr>
          <w:b/>
          <w:sz w:val="22"/>
          <w:szCs w:val="22"/>
        </w:rPr>
      </w:pPr>
      <w:r w:rsidRPr="00A35AB0">
        <w:rPr>
          <w:b/>
          <w:sz w:val="22"/>
          <w:szCs w:val="22"/>
        </w:rPr>
        <w:t xml:space="preserve">University of Rochester School of Medicine &amp; Dentistry </w:t>
      </w:r>
      <w:r w:rsidR="003C3115">
        <w:rPr>
          <w:b/>
          <w:sz w:val="22"/>
          <w:szCs w:val="22"/>
        </w:rPr>
        <w:t>Center for Experiential Learning</w:t>
      </w:r>
    </w:p>
    <w:p w:rsidR="00A35AB0" w:rsidRPr="005E6A88" w:rsidRDefault="00A35AB0" w:rsidP="000803A5">
      <w:pPr>
        <w:ind w:left="360" w:hanging="360"/>
        <w:jc w:val="center"/>
        <w:rPr>
          <w:sz w:val="12"/>
          <w:szCs w:val="12"/>
        </w:rPr>
      </w:pPr>
    </w:p>
    <w:p w:rsidR="008F0EFB" w:rsidRPr="00FC7F48" w:rsidRDefault="008F0EFB" w:rsidP="008F0EFB">
      <w:pPr>
        <w:jc w:val="center"/>
        <w:rPr>
          <w:i/>
          <w:sz w:val="22"/>
          <w:szCs w:val="22"/>
        </w:rPr>
      </w:pPr>
      <w:r w:rsidRPr="00FC7F48">
        <w:rPr>
          <w:i/>
          <w:sz w:val="22"/>
          <w:szCs w:val="22"/>
        </w:rPr>
        <w:t xml:space="preserve">This form must be completed by the </w:t>
      </w:r>
      <w:r>
        <w:rPr>
          <w:i/>
          <w:sz w:val="22"/>
          <w:szCs w:val="22"/>
        </w:rPr>
        <w:t>individual</w:t>
      </w:r>
      <w:r w:rsidRPr="00FC7F48">
        <w:rPr>
          <w:i/>
          <w:sz w:val="22"/>
          <w:szCs w:val="22"/>
        </w:rPr>
        <w:t xml:space="preserve"> contributing </w:t>
      </w:r>
      <w:r>
        <w:rPr>
          <w:i/>
          <w:sz w:val="22"/>
          <w:szCs w:val="22"/>
        </w:rPr>
        <w:t>t</w:t>
      </w:r>
      <w:r w:rsidRPr="00FC7F48">
        <w:rPr>
          <w:i/>
          <w:sz w:val="22"/>
          <w:szCs w:val="22"/>
        </w:rPr>
        <w:t>o the activity listed below.</w:t>
      </w:r>
    </w:p>
    <w:p w:rsidR="00A35AB0" w:rsidRPr="00A35AB0" w:rsidRDefault="00A35AB0" w:rsidP="000803A5">
      <w:pPr>
        <w:ind w:left="360" w:hanging="360"/>
        <w:jc w:val="center"/>
        <w:rPr>
          <w:b/>
          <w:sz w:val="22"/>
          <w:szCs w:val="22"/>
        </w:rPr>
      </w:pPr>
      <w:r w:rsidRPr="00A35AB0">
        <w:rPr>
          <w:b/>
          <w:sz w:val="22"/>
          <w:szCs w:val="22"/>
        </w:rPr>
        <w:t>Persons who fail to complete this form will not be allowed to participate in the CME activity.</w:t>
      </w:r>
    </w:p>
    <w:p w:rsidR="00A35AB0" w:rsidRDefault="00A35AB0" w:rsidP="000803A5">
      <w:pPr>
        <w:ind w:firstLine="720"/>
        <w:rPr>
          <w:sz w:val="18"/>
          <w:szCs w:val="18"/>
        </w:rPr>
      </w:pPr>
    </w:p>
    <w:tbl>
      <w:tblP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8370"/>
      </w:tblGrid>
      <w:tr w:rsidR="00A35AB0" w:rsidRPr="004D0CC6" w:rsidTr="008F0EFB">
        <w:tc>
          <w:tcPr>
            <w:tcW w:w="3258" w:type="dxa"/>
          </w:tcPr>
          <w:p w:rsidR="00A35AB0" w:rsidRPr="004D0CC6" w:rsidRDefault="00A35AB0" w:rsidP="008F0EFB">
            <w:pPr>
              <w:jc w:val="both"/>
              <w:rPr>
                <w:sz w:val="20"/>
                <w:szCs w:val="20"/>
              </w:rPr>
            </w:pPr>
            <w:r w:rsidRPr="004D0CC6">
              <w:rPr>
                <w:sz w:val="20"/>
                <w:szCs w:val="20"/>
              </w:rPr>
              <w:t xml:space="preserve">Name </w:t>
            </w:r>
          </w:p>
        </w:tc>
        <w:tc>
          <w:tcPr>
            <w:tcW w:w="8370" w:type="dxa"/>
          </w:tcPr>
          <w:p w:rsidR="00A35AB0" w:rsidRPr="004D0CC6" w:rsidRDefault="00A35AB0" w:rsidP="004D0CC6">
            <w:pPr>
              <w:jc w:val="both"/>
              <w:rPr>
                <w:sz w:val="20"/>
                <w:szCs w:val="20"/>
              </w:rPr>
            </w:pPr>
          </w:p>
        </w:tc>
      </w:tr>
      <w:tr w:rsidR="00A35AB0" w:rsidRPr="004D0CC6" w:rsidTr="008F0EFB">
        <w:tc>
          <w:tcPr>
            <w:tcW w:w="3258" w:type="dxa"/>
          </w:tcPr>
          <w:p w:rsidR="00A35AB0" w:rsidRPr="004D0CC6" w:rsidRDefault="00A35AB0" w:rsidP="004D0CC6">
            <w:pPr>
              <w:jc w:val="both"/>
              <w:rPr>
                <w:sz w:val="20"/>
                <w:szCs w:val="20"/>
              </w:rPr>
            </w:pPr>
            <w:r w:rsidRPr="004D0CC6">
              <w:rPr>
                <w:sz w:val="20"/>
                <w:szCs w:val="20"/>
              </w:rPr>
              <w:t>Email Address</w:t>
            </w:r>
          </w:p>
        </w:tc>
        <w:tc>
          <w:tcPr>
            <w:tcW w:w="8370" w:type="dxa"/>
          </w:tcPr>
          <w:p w:rsidR="00A35AB0" w:rsidRPr="004D0CC6" w:rsidRDefault="00A35AB0" w:rsidP="004D0CC6">
            <w:pPr>
              <w:jc w:val="both"/>
              <w:rPr>
                <w:sz w:val="20"/>
                <w:szCs w:val="20"/>
              </w:rPr>
            </w:pPr>
          </w:p>
        </w:tc>
      </w:tr>
      <w:tr w:rsidR="00A35AB0" w:rsidRPr="004D0CC6" w:rsidTr="008F0EFB">
        <w:tc>
          <w:tcPr>
            <w:tcW w:w="3258" w:type="dxa"/>
          </w:tcPr>
          <w:p w:rsidR="00A35AB0" w:rsidRPr="004D0CC6" w:rsidRDefault="00A35AB0" w:rsidP="004D0CC6">
            <w:pPr>
              <w:jc w:val="both"/>
              <w:rPr>
                <w:sz w:val="20"/>
                <w:szCs w:val="20"/>
              </w:rPr>
            </w:pPr>
            <w:r w:rsidRPr="004D0CC6">
              <w:rPr>
                <w:sz w:val="20"/>
                <w:szCs w:val="20"/>
              </w:rPr>
              <w:t>Phone Number</w:t>
            </w:r>
          </w:p>
        </w:tc>
        <w:tc>
          <w:tcPr>
            <w:tcW w:w="8370" w:type="dxa"/>
          </w:tcPr>
          <w:p w:rsidR="00A35AB0" w:rsidRPr="004D0CC6" w:rsidRDefault="00A35AB0" w:rsidP="004D0CC6">
            <w:pPr>
              <w:jc w:val="both"/>
              <w:rPr>
                <w:sz w:val="20"/>
                <w:szCs w:val="20"/>
              </w:rPr>
            </w:pPr>
          </w:p>
        </w:tc>
      </w:tr>
      <w:tr w:rsidR="00A35AB0" w:rsidRPr="004D0CC6" w:rsidTr="008F0EFB">
        <w:tc>
          <w:tcPr>
            <w:tcW w:w="3258" w:type="dxa"/>
          </w:tcPr>
          <w:p w:rsidR="00A35AB0" w:rsidRPr="004D0CC6" w:rsidRDefault="00A35AB0" w:rsidP="004D0CC6">
            <w:pPr>
              <w:jc w:val="both"/>
              <w:rPr>
                <w:sz w:val="20"/>
                <w:szCs w:val="20"/>
              </w:rPr>
            </w:pPr>
            <w:r w:rsidRPr="004D0CC6">
              <w:rPr>
                <w:sz w:val="20"/>
                <w:szCs w:val="20"/>
              </w:rPr>
              <w:t>Activity Title</w:t>
            </w:r>
          </w:p>
        </w:tc>
        <w:tc>
          <w:tcPr>
            <w:tcW w:w="8370" w:type="dxa"/>
          </w:tcPr>
          <w:p w:rsidR="00A35AB0" w:rsidRPr="004D0CC6" w:rsidRDefault="00A35AB0" w:rsidP="004D0CC6">
            <w:pPr>
              <w:jc w:val="both"/>
              <w:rPr>
                <w:sz w:val="20"/>
                <w:szCs w:val="20"/>
              </w:rPr>
            </w:pPr>
          </w:p>
        </w:tc>
      </w:tr>
      <w:tr w:rsidR="00A35AB0" w:rsidRPr="004D0CC6" w:rsidTr="008F0EFB">
        <w:tc>
          <w:tcPr>
            <w:tcW w:w="3258" w:type="dxa"/>
          </w:tcPr>
          <w:p w:rsidR="00A35AB0" w:rsidRPr="004D0CC6" w:rsidRDefault="00A35AB0" w:rsidP="004D0CC6">
            <w:pPr>
              <w:jc w:val="both"/>
              <w:rPr>
                <w:sz w:val="20"/>
                <w:szCs w:val="20"/>
              </w:rPr>
            </w:pPr>
            <w:r w:rsidRPr="004D0CC6">
              <w:rPr>
                <w:sz w:val="20"/>
                <w:szCs w:val="20"/>
              </w:rPr>
              <w:t>Date of Activity or Academic Year</w:t>
            </w:r>
          </w:p>
        </w:tc>
        <w:tc>
          <w:tcPr>
            <w:tcW w:w="8370" w:type="dxa"/>
          </w:tcPr>
          <w:p w:rsidR="00A35AB0" w:rsidRPr="004D0CC6" w:rsidRDefault="00A35AB0" w:rsidP="004D0CC6">
            <w:pPr>
              <w:jc w:val="both"/>
              <w:rPr>
                <w:sz w:val="20"/>
                <w:szCs w:val="20"/>
              </w:rPr>
            </w:pPr>
          </w:p>
        </w:tc>
      </w:tr>
      <w:tr w:rsidR="00E87056" w:rsidRPr="004D0CC6" w:rsidTr="008F0EFB">
        <w:tc>
          <w:tcPr>
            <w:tcW w:w="3258" w:type="dxa"/>
          </w:tcPr>
          <w:p w:rsidR="00E87056" w:rsidRPr="004D0CC6" w:rsidRDefault="00E87056" w:rsidP="00105123">
            <w:pPr>
              <w:jc w:val="both"/>
              <w:rPr>
                <w:sz w:val="20"/>
                <w:szCs w:val="20"/>
              </w:rPr>
            </w:pPr>
            <w:r>
              <w:rPr>
                <w:sz w:val="20"/>
                <w:szCs w:val="20"/>
              </w:rPr>
              <w:t>Your Role in the Activity</w:t>
            </w:r>
          </w:p>
        </w:tc>
        <w:tc>
          <w:tcPr>
            <w:tcW w:w="8370" w:type="dxa"/>
          </w:tcPr>
          <w:p w:rsidR="00E87056" w:rsidRPr="004D0CC6" w:rsidRDefault="00E87056" w:rsidP="00105123">
            <w:pPr>
              <w:jc w:val="both"/>
              <w:rPr>
                <w:sz w:val="20"/>
                <w:szCs w:val="20"/>
              </w:rPr>
            </w:pPr>
            <w:r>
              <w:rPr>
                <w:sz w:val="20"/>
                <w:szCs w:val="20"/>
              </w:rPr>
              <w:sym w:font="Wingdings" w:char="F0A8"/>
            </w:r>
            <w:r>
              <w:rPr>
                <w:sz w:val="20"/>
                <w:szCs w:val="20"/>
              </w:rPr>
              <w:t xml:space="preserve"> Presenter       </w:t>
            </w:r>
            <w:r>
              <w:rPr>
                <w:sz w:val="20"/>
                <w:szCs w:val="20"/>
              </w:rPr>
              <w:sym w:font="Wingdings" w:char="F0A8"/>
            </w:r>
            <w:r>
              <w:rPr>
                <w:sz w:val="20"/>
                <w:szCs w:val="20"/>
              </w:rPr>
              <w:t xml:space="preserve"> Author       </w:t>
            </w:r>
            <w:r>
              <w:rPr>
                <w:sz w:val="20"/>
                <w:szCs w:val="20"/>
              </w:rPr>
              <w:sym w:font="Wingdings" w:char="F0A8"/>
            </w:r>
            <w:r>
              <w:rPr>
                <w:sz w:val="20"/>
                <w:szCs w:val="20"/>
              </w:rPr>
              <w:t xml:space="preserve"> Moderator       </w:t>
            </w:r>
            <w:r>
              <w:rPr>
                <w:sz w:val="20"/>
                <w:szCs w:val="20"/>
              </w:rPr>
              <w:sym w:font="Wingdings" w:char="F0A8"/>
            </w:r>
            <w:r>
              <w:rPr>
                <w:sz w:val="20"/>
                <w:szCs w:val="20"/>
              </w:rPr>
              <w:t xml:space="preserve"> Planning Committee</w:t>
            </w:r>
          </w:p>
        </w:tc>
      </w:tr>
    </w:tbl>
    <w:p w:rsidR="008F0EFB" w:rsidRDefault="008F0EFB" w:rsidP="000803A5">
      <w:pPr>
        <w:ind w:firstLine="720"/>
        <w:rPr>
          <w:sz w:val="18"/>
          <w:szCs w:val="18"/>
        </w:rPr>
      </w:pPr>
    </w:p>
    <w:p w:rsidR="008F0EFB" w:rsidRPr="008F0EFB" w:rsidRDefault="008F0EFB" w:rsidP="008F0EFB">
      <w:pPr>
        <w:rPr>
          <w:sz w:val="22"/>
          <w:szCs w:val="22"/>
        </w:rPr>
      </w:pPr>
      <w:r w:rsidRPr="008F0EFB">
        <w:sym w:font="Wingdings" w:char="F0A8"/>
      </w:r>
      <w:r>
        <w:t xml:space="preserve"> </w:t>
      </w:r>
      <w:r w:rsidRPr="008F0EFB">
        <w:rPr>
          <w:b/>
          <w:sz w:val="22"/>
          <w:szCs w:val="22"/>
        </w:rPr>
        <w:t>To the best of my knowledge, I attest that the information provided below is correct and I will notify the CPE Office if there are any changes.</w:t>
      </w:r>
      <w:r w:rsidRPr="008F0EFB">
        <w:rPr>
          <w:b/>
          <w:sz w:val="18"/>
          <w:szCs w:val="18"/>
        </w:rPr>
        <w:t xml:space="preserve"> </w:t>
      </w:r>
      <w:r>
        <w:rPr>
          <w:b/>
          <w:sz w:val="18"/>
          <w:szCs w:val="18"/>
        </w:rPr>
        <w:tab/>
      </w:r>
      <w:r>
        <w:rPr>
          <w:b/>
          <w:sz w:val="18"/>
          <w:szCs w:val="18"/>
        </w:rPr>
        <w:tab/>
      </w:r>
      <w:r>
        <w:rPr>
          <w:b/>
          <w:sz w:val="18"/>
          <w:szCs w:val="18"/>
        </w:rPr>
        <w:tab/>
        <w:t>DATE: __________________</w:t>
      </w:r>
    </w:p>
    <w:p w:rsidR="000803A5" w:rsidRPr="00820951" w:rsidRDefault="000803A5" w:rsidP="000803A5">
      <w:pPr>
        <w:ind w:firstLine="720"/>
        <w:rPr>
          <w:rFonts w:cs="Arial"/>
          <w:i/>
          <w:sz w:val="22"/>
          <w:szCs w:val="22"/>
        </w:rPr>
      </w:pPr>
      <w:r w:rsidRPr="000E4125">
        <w:rPr>
          <w:sz w:val="18"/>
          <w:szCs w:val="18"/>
        </w:rPr>
        <w:tab/>
      </w:r>
    </w:p>
    <w:p w:rsidR="00A35AB0" w:rsidRPr="00A35AB0" w:rsidRDefault="00A35AB0" w:rsidP="00A35AB0">
      <w:pPr>
        <w:pStyle w:val="BodyText"/>
        <w:pBdr>
          <w:top w:val="single" w:sz="4" w:space="1" w:color="auto"/>
          <w:left w:val="single" w:sz="4" w:space="0" w:color="auto"/>
          <w:bottom w:val="single" w:sz="4" w:space="0" w:color="auto"/>
          <w:right w:val="single" w:sz="4" w:space="4" w:color="auto"/>
        </w:pBdr>
        <w:shd w:val="clear" w:color="auto" w:fill="C0C0C0"/>
        <w:jc w:val="left"/>
        <w:rPr>
          <w:rFonts w:cs="Arial"/>
          <w:b/>
          <w:sz w:val="12"/>
          <w:szCs w:val="12"/>
        </w:rPr>
      </w:pPr>
    </w:p>
    <w:p w:rsidR="000803A5" w:rsidRPr="008B5BBA" w:rsidRDefault="000803A5" w:rsidP="000803A5">
      <w:pPr>
        <w:pStyle w:val="BodyText"/>
        <w:pBdr>
          <w:top w:val="single" w:sz="4" w:space="1" w:color="auto"/>
          <w:left w:val="single" w:sz="4" w:space="0" w:color="auto"/>
          <w:bottom w:val="single" w:sz="4" w:space="0" w:color="auto"/>
          <w:right w:val="single" w:sz="4" w:space="4" w:color="auto"/>
        </w:pBdr>
        <w:shd w:val="clear" w:color="auto" w:fill="C0C0C0"/>
        <w:spacing w:after="120"/>
        <w:jc w:val="left"/>
        <w:rPr>
          <w:rFonts w:cs="Arial"/>
          <w:sz w:val="18"/>
          <w:szCs w:val="18"/>
        </w:rPr>
      </w:pPr>
      <w:r w:rsidRPr="00025F11">
        <w:rPr>
          <w:rFonts w:cs="Arial"/>
          <w:b/>
          <w:sz w:val="18"/>
          <w:szCs w:val="18"/>
        </w:rPr>
        <w:t>First</w:t>
      </w:r>
      <w:r w:rsidRPr="00025F11">
        <w:rPr>
          <w:rFonts w:cs="Arial"/>
          <w:sz w:val="18"/>
          <w:szCs w:val="18"/>
        </w:rPr>
        <w:t xml:space="preserve">, </w:t>
      </w:r>
      <w:r>
        <w:rPr>
          <w:rFonts w:cs="Arial"/>
          <w:sz w:val="18"/>
          <w:szCs w:val="18"/>
        </w:rPr>
        <w:t xml:space="preserve">Check the box(es) that most accurately </w:t>
      </w:r>
      <w:r w:rsidRPr="00025F11">
        <w:rPr>
          <w:rFonts w:cs="Arial"/>
          <w:sz w:val="18"/>
          <w:szCs w:val="18"/>
        </w:rPr>
        <w:t>describe your role.</w:t>
      </w:r>
      <w:r w:rsidR="008B5BBA">
        <w:rPr>
          <w:rFonts w:cs="Arial"/>
          <w:sz w:val="18"/>
          <w:szCs w:val="18"/>
          <w:u w:val="single"/>
        </w:rPr>
        <w:t xml:space="preserve"> YOU MUST CHECK EITHER THE ‘NONE’ BOX OR 1 OR MORE OF THE OTHERS.</w:t>
      </w:r>
    </w:p>
    <w:p w:rsidR="008F0EFB" w:rsidRDefault="00212045" w:rsidP="00A35AB0">
      <w:pPr>
        <w:pStyle w:val="BodyText"/>
        <w:pBdr>
          <w:top w:val="single" w:sz="4" w:space="1" w:color="auto"/>
          <w:left w:val="single" w:sz="4" w:space="0" w:color="auto"/>
          <w:bottom w:val="single" w:sz="4" w:space="0" w:color="auto"/>
          <w:right w:val="single" w:sz="4" w:space="4" w:color="auto"/>
        </w:pBdr>
        <w:shd w:val="clear" w:color="auto" w:fill="C0C0C0"/>
        <w:jc w:val="left"/>
        <w:rPr>
          <w:sz w:val="18"/>
          <w:szCs w:val="18"/>
        </w:rPr>
      </w:pPr>
      <w:r w:rsidRPr="00FC7F48">
        <w:rPr>
          <w:b/>
          <w:sz w:val="18"/>
          <w:szCs w:val="18"/>
        </w:rPr>
        <w:t>Second,</w:t>
      </w:r>
      <w:r w:rsidRPr="00FC7F48">
        <w:rPr>
          <w:sz w:val="18"/>
          <w:szCs w:val="18"/>
        </w:rPr>
        <w:t xml:space="preserve"> list the names of</w:t>
      </w:r>
      <w:r w:rsidRPr="00FC7F48">
        <w:rPr>
          <w:color w:val="000000"/>
          <w:sz w:val="18"/>
          <w:szCs w:val="18"/>
        </w:rPr>
        <w:t xml:space="preserve"> Commercial Interests</w:t>
      </w:r>
      <w:r w:rsidRPr="00FC7F48">
        <w:rPr>
          <w:sz w:val="18"/>
          <w:szCs w:val="18"/>
        </w:rPr>
        <w:t xml:space="preserve"> with which </w:t>
      </w:r>
      <w:r w:rsidRPr="008B5BBA">
        <w:rPr>
          <w:sz w:val="18"/>
          <w:szCs w:val="18"/>
          <w:u w:val="single"/>
        </w:rPr>
        <w:t>you or your spouse/partner</w:t>
      </w:r>
      <w:r w:rsidRPr="00FC7F48">
        <w:rPr>
          <w:sz w:val="18"/>
          <w:szCs w:val="18"/>
        </w:rPr>
        <w:t xml:space="preserve"> have, or have had, a relevant financial relationship within the past 12 months. For this purpose the ACCME considers the relevant financial relationships of your spouse or partner that you are aware of to be yours.</w:t>
      </w:r>
    </w:p>
    <w:p w:rsidR="00A35AB0" w:rsidRPr="00212045" w:rsidRDefault="00A35AB0" w:rsidP="00A35AB0">
      <w:pPr>
        <w:pStyle w:val="BodyText"/>
        <w:pBdr>
          <w:top w:val="single" w:sz="4" w:space="1" w:color="auto"/>
          <w:left w:val="single" w:sz="4" w:space="0" w:color="auto"/>
          <w:bottom w:val="single" w:sz="4" w:space="0" w:color="auto"/>
          <w:right w:val="single" w:sz="4" w:space="4" w:color="auto"/>
        </w:pBdr>
        <w:shd w:val="clear" w:color="auto" w:fill="C0C0C0"/>
        <w:jc w:val="left"/>
        <w:rPr>
          <w:sz w:val="18"/>
          <w:szCs w:val="18"/>
        </w:rPr>
      </w:pPr>
    </w:p>
    <w:tbl>
      <w:tblPr>
        <w:tblW w:w="0" w:type="auto"/>
        <w:jc w:val="right"/>
        <w:tblInd w:w="-180" w:type="dxa"/>
        <w:tblBorders>
          <w:bottom w:val="single" w:sz="4" w:space="0" w:color="auto"/>
        </w:tblBorders>
        <w:tblCellMar>
          <w:left w:w="115" w:type="dxa"/>
          <w:right w:w="115" w:type="dxa"/>
        </w:tblCellMar>
        <w:tblLook w:val="01E0"/>
      </w:tblPr>
      <w:tblGrid>
        <w:gridCol w:w="3600"/>
        <w:gridCol w:w="7891"/>
      </w:tblGrid>
      <w:tr w:rsidR="000803A5" w:rsidRPr="000945C5" w:rsidTr="00B06100">
        <w:trPr>
          <w:trHeight w:val="245"/>
          <w:jc w:val="right"/>
        </w:trPr>
        <w:tc>
          <w:tcPr>
            <w:tcW w:w="3600" w:type="dxa"/>
            <w:tcBorders>
              <w:top w:val="single" w:sz="4" w:space="0" w:color="auto"/>
              <w:left w:val="single" w:sz="4" w:space="0" w:color="auto"/>
              <w:bottom w:val="single" w:sz="4" w:space="0" w:color="auto"/>
              <w:right w:val="single" w:sz="4" w:space="0" w:color="auto"/>
            </w:tcBorders>
            <w:shd w:val="clear" w:color="auto" w:fill="CCFFCC"/>
            <w:vAlign w:val="center"/>
          </w:tcPr>
          <w:p w:rsidR="00A35AB0" w:rsidRDefault="00A35AB0" w:rsidP="00A35AB0">
            <w:pPr>
              <w:pStyle w:val="BodyText"/>
              <w:spacing w:before="120" w:after="120"/>
              <w:jc w:val="left"/>
              <w:rPr>
                <w:b/>
                <w:sz w:val="18"/>
                <w:szCs w:val="18"/>
              </w:rPr>
            </w:pPr>
            <w:r>
              <w:rPr>
                <w:b/>
                <w:sz w:val="18"/>
                <w:szCs w:val="18"/>
              </w:rPr>
              <w:t>Nature of Relevant Financial Relationship</w:t>
            </w:r>
          </w:p>
          <w:p w:rsidR="00212045" w:rsidRPr="000945C5" w:rsidRDefault="000803A5" w:rsidP="00A35AB0">
            <w:pPr>
              <w:pStyle w:val="BodyText"/>
              <w:spacing w:before="120" w:after="120"/>
              <w:jc w:val="left"/>
              <w:rPr>
                <w:b/>
                <w:sz w:val="18"/>
                <w:szCs w:val="18"/>
              </w:rPr>
            </w:pPr>
            <w:r>
              <w:rPr>
                <w:b/>
                <w:sz w:val="18"/>
                <w:szCs w:val="18"/>
              </w:rPr>
              <w:t>The following could be perceived as a potential conflict of interest (COI).</w:t>
            </w:r>
          </w:p>
        </w:tc>
        <w:tc>
          <w:tcPr>
            <w:tcW w:w="7891" w:type="dxa"/>
            <w:tcBorders>
              <w:top w:val="single" w:sz="4" w:space="0" w:color="auto"/>
              <w:left w:val="single" w:sz="4" w:space="0" w:color="auto"/>
              <w:bottom w:val="single" w:sz="4" w:space="0" w:color="auto"/>
              <w:right w:val="single" w:sz="4" w:space="0" w:color="auto"/>
            </w:tcBorders>
            <w:shd w:val="clear" w:color="auto" w:fill="CCFFCC"/>
            <w:vAlign w:val="center"/>
          </w:tcPr>
          <w:p w:rsidR="000803A5" w:rsidRDefault="000803A5" w:rsidP="00B06100">
            <w:pPr>
              <w:pStyle w:val="BodyText"/>
              <w:spacing w:before="40" w:after="40"/>
              <w:jc w:val="center"/>
              <w:rPr>
                <w:b/>
                <w:sz w:val="18"/>
                <w:szCs w:val="18"/>
              </w:rPr>
            </w:pPr>
          </w:p>
          <w:p w:rsidR="000803A5" w:rsidRDefault="000803A5" w:rsidP="00B06100">
            <w:pPr>
              <w:pStyle w:val="BodyText"/>
              <w:spacing w:before="40" w:after="40"/>
              <w:jc w:val="center"/>
              <w:rPr>
                <w:b/>
                <w:sz w:val="18"/>
                <w:szCs w:val="18"/>
              </w:rPr>
            </w:pPr>
            <w:r w:rsidRPr="000945C5">
              <w:rPr>
                <w:b/>
                <w:sz w:val="18"/>
                <w:szCs w:val="18"/>
              </w:rPr>
              <w:t xml:space="preserve">Name of </w:t>
            </w:r>
            <w:r w:rsidR="00A35AB0">
              <w:rPr>
                <w:b/>
                <w:sz w:val="18"/>
                <w:szCs w:val="18"/>
              </w:rPr>
              <w:t>Commercial Interest</w:t>
            </w:r>
            <w:r w:rsidR="00A35AB0" w:rsidRPr="000945C5">
              <w:rPr>
                <w:b/>
                <w:sz w:val="18"/>
                <w:szCs w:val="18"/>
              </w:rPr>
              <w:t xml:space="preserve"> </w:t>
            </w:r>
            <w:r w:rsidRPr="000945C5">
              <w:rPr>
                <w:b/>
                <w:sz w:val="18"/>
                <w:szCs w:val="18"/>
              </w:rPr>
              <w:t>Organization(s)</w:t>
            </w:r>
            <w:r w:rsidR="00A35AB0">
              <w:rPr>
                <w:b/>
                <w:sz w:val="18"/>
                <w:szCs w:val="18"/>
              </w:rPr>
              <w:t xml:space="preserve"> </w:t>
            </w:r>
          </w:p>
          <w:p w:rsidR="00212045" w:rsidRPr="000945C5" w:rsidRDefault="00212045" w:rsidP="00212045">
            <w:pPr>
              <w:pStyle w:val="BodyText"/>
              <w:spacing w:before="40" w:after="40"/>
              <w:jc w:val="left"/>
              <w:rPr>
                <w:b/>
                <w:sz w:val="18"/>
                <w:szCs w:val="18"/>
              </w:rPr>
            </w:pPr>
          </w:p>
        </w:tc>
      </w:tr>
      <w:tr w:rsidR="000803A5" w:rsidRPr="000945C5" w:rsidTr="00B06100">
        <w:trPr>
          <w:jc w:val="right"/>
        </w:trPr>
        <w:tc>
          <w:tcPr>
            <w:tcW w:w="3600" w:type="dxa"/>
            <w:tcBorders>
              <w:top w:val="single" w:sz="4" w:space="0" w:color="auto"/>
              <w:left w:val="single" w:sz="4" w:space="0" w:color="auto"/>
              <w:bottom w:val="single" w:sz="4" w:space="0" w:color="auto"/>
              <w:right w:val="single" w:sz="4" w:space="0" w:color="auto"/>
            </w:tcBorders>
            <w:shd w:val="clear" w:color="auto" w:fill="D9D9D9"/>
            <w:vAlign w:val="center"/>
          </w:tcPr>
          <w:p w:rsidR="000803A5" w:rsidRPr="000945C5" w:rsidRDefault="000803A5" w:rsidP="00B06100">
            <w:pPr>
              <w:pStyle w:val="BodyText"/>
              <w:spacing w:before="40" w:after="40"/>
              <w:jc w:val="left"/>
              <w:rPr>
                <w:sz w:val="14"/>
                <w:szCs w:val="14"/>
              </w:rPr>
            </w:pPr>
          </w:p>
        </w:tc>
        <w:tc>
          <w:tcPr>
            <w:tcW w:w="7891" w:type="dxa"/>
            <w:tcBorders>
              <w:top w:val="single" w:sz="4" w:space="0" w:color="auto"/>
              <w:left w:val="single" w:sz="4" w:space="0" w:color="auto"/>
              <w:bottom w:val="single" w:sz="4" w:space="0" w:color="auto"/>
              <w:right w:val="single" w:sz="4" w:space="0" w:color="auto"/>
            </w:tcBorders>
            <w:shd w:val="clear" w:color="auto" w:fill="D9D9D9"/>
            <w:vAlign w:val="center"/>
          </w:tcPr>
          <w:p w:rsidR="000803A5" w:rsidRPr="000945C5" w:rsidRDefault="000803A5" w:rsidP="00B06100">
            <w:pPr>
              <w:pStyle w:val="BodyText"/>
              <w:spacing w:before="40" w:after="40"/>
              <w:jc w:val="center"/>
              <w:rPr>
                <w:i/>
                <w:sz w:val="14"/>
                <w:szCs w:val="14"/>
              </w:rPr>
            </w:pPr>
            <w:r w:rsidRPr="000945C5">
              <w:rPr>
                <w:i/>
                <w:sz w:val="14"/>
                <w:szCs w:val="14"/>
              </w:rPr>
              <w:t xml:space="preserve"> </w:t>
            </w:r>
          </w:p>
        </w:tc>
      </w:tr>
      <w:tr w:rsidR="000803A5" w:rsidRPr="000945C5" w:rsidTr="00B06100">
        <w:trPr>
          <w:jc w:val="right"/>
        </w:trPr>
        <w:tc>
          <w:tcPr>
            <w:tcW w:w="3600" w:type="dxa"/>
            <w:tcBorders>
              <w:top w:val="single" w:sz="4" w:space="0" w:color="auto"/>
              <w:left w:val="single" w:sz="4" w:space="0" w:color="auto"/>
              <w:bottom w:val="single" w:sz="4" w:space="0" w:color="auto"/>
              <w:right w:val="single" w:sz="4" w:space="0" w:color="auto"/>
            </w:tcBorders>
            <w:vAlign w:val="center"/>
          </w:tcPr>
          <w:p w:rsidR="000803A5" w:rsidRPr="000945C5" w:rsidRDefault="000803A5" w:rsidP="00B06100">
            <w:pPr>
              <w:pStyle w:val="BodyText"/>
              <w:spacing w:before="40" w:after="40"/>
              <w:jc w:val="left"/>
              <w:rPr>
                <w:color w:val="0000FF"/>
                <w:sz w:val="18"/>
                <w:szCs w:val="18"/>
              </w:rPr>
            </w:pPr>
            <w:r w:rsidRPr="000945C5">
              <w:rPr>
                <w:color w:val="0000FF"/>
                <w:sz w:val="18"/>
                <w:szCs w:val="18"/>
              </w:rPr>
              <w:sym w:font="Wingdings" w:char="F0A8"/>
            </w:r>
            <w:r w:rsidRPr="000945C5">
              <w:rPr>
                <w:color w:val="0000FF"/>
                <w:sz w:val="18"/>
                <w:szCs w:val="18"/>
              </w:rPr>
              <w:t xml:space="preserve">      Grant/Research Support</w:t>
            </w:r>
          </w:p>
        </w:tc>
        <w:tc>
          <w:tcPr>
            <w:tcW w:w="7891" w:type="dxa"/>
            <w:tcBorders>
              <w:top w:val="single" w:sz="4" w:space="0" w:color="auto"/>
              <w:left w:val="single" w:sz="4" w:space="0" w:color="auto"/>
              <w:bottom w:val="single" w:sz="4" w:space="0" w:color="auto"/>
              <w:right w:val="single" w:sz="4" w:space="0" w:color="auto"/>
            </w:tcBorders>
          </w:tcPr>
          <w:p w:rsidR="000803A5" w:rsidRPr="000945C5" w:rsidRDefault="000803A5" w:rsidP="00B06100">
            <w:pPr>
              <w:pStyle w:val="BodyText"/>
              <w:spacing w:before="40" w:after="40"/>
              <w:jc w:val="left"/>
              <w:rPr>
                <w:color w:val="0000FF"/>
                <w:sz w:val="18"/>
                <w:szCs w:val="18"/>
              </w:rPr>
            </w:pPr>
          </w:p>
        </w:tc>
      </w:tr>
      <w:tr w:rsidR="000803A5" w:rsidRPr="000945C5" w:rsidTr="00B06100">
        <w:trPr>
          <w:jc w:val="right"/>
        </w:trPr>
        <w:tc>
          <w:tcPr>
            <w:tcW w:w="3600" w:type="dxa"/>
            <w:tcBorders>
              <w:top w:val="single" w:sz="4" w:space="0" w:color="auto"/>
              <w:left w:val="single" w:sz="4" w:space="0" w:color="auto"/>
              <w:bottom w:val="single" w:sz="4" w:space="0" w:color="auto"/>
              <w:right w:val="single" w:sz="4" w:space="0" w:color="auto"/>
            </w:tcBorders>
            <w:vAlign w:val="center"/>
          </w:tcPr>
          <w:p w:rsidR="000803A5" w:rsidRPr="000945C5" w:rsidRDefault="000803A5" w:rsidP="00B06100">
            <w:pPr>
              <w:pStyle w:val="BodyText"/>
              <w:spacing w:before="40" w:after="40"/>
              <w:jc w:val="left"/>
              <w:rPr>
                <w:color w:val="0000FF"/>
                <w:sz w:val="18"/>
                <w:szCs w:val="18"/>
              </w:rPr>
            </w:pPr>
            <w:r w:rsidRPr="000945C5">
              <w:rPr>
                <w:color w:val="0000FF"/>
                <w:sz w:val="18"/>
                <w:szCs w:val="18"/>
              </w:rPr>
              <w:sym w:font="Wingdings" w:char="F0A8"/>
            </w:r>
            <w:r w:rsidRPr="000945C5">
              <w:rPr>
                <w:color w:val="0000FF"/>
                <w:sz w:val="18"/>
                <w:szCs w:val="18"/>
              </w:rPr>
              <w:t xml:space="preserve">      Consultant</w:t>
            </w:r>
          </w:p>
        </w:tc>
        <w:tc>
          <w:tcPr>
            <w:tcW w:w="7891" w:type="dxa"/>
            <w:tcBorders>
              <w:top w:val="single" w:sz="4" w:space="0" w:color="auto"/>
              <w:left w:val="single" w:sz="4" w:space="0" w:color="auto"/>
              <w:bottom w:val="single" w:sz="4" w:space="0" w:color="auto"/>
              <w:right w:val="single" w:sz="4" w:space="0" w:color="auto"/>
            </w:tcBorders>
          </w:tcPr>
          <w:p w:rsidR="000803A5" w:rsidRPr="000945C5" w:rsidRDefault="000803A5" w:rsidP="00B06100">
            <w:pPr>
              <w:pStyle w:val="BodyText"/>
              <w:spacing w:before="40" w:after="40"/>
              <w:jc w:val="left"/>
              <w:rPr>
                <w:color w:val="0000FF"/>
                <w:sz w:val="18"/>
                <w:szCs w:val="18"/>
              </w:rPr>
            </w:pPr>
          </w:p>
        </w:tc>
      </w:tr>
      <w:tr w:rsidR="000803A5" w:rsidRPr="000945C5" w:rsidTr="00B06100">
        <w:trPr>
          <w:jc w:val="right"/>
        </w:trPr>
        <w:tc>
          <w:tcPr>
            <w:tcW w:w="3600" w:type="dxa"/>
            <w:tcBorders>
              <w:top w:val="single" w:sz="4" w:space="0" w:color="auto"/>
              <w:left w:val="single" w:sz="4" w:space="0" w:color="auto"/>
              <w:bottom w:val="single" w:sz="4" w:space="0" w:color="auto"/>
              <w:right w:val="single" w:sz="4" w:space="0" w:color="auto"/>
            </w:tcBorders>
            <w:vAlign w:val="center"/>
          </w:tcPr>
          <w:p w:rsidR="000803A5" w:rsidRPr="000945C5" w:rsidRDefault="000803A5" w:rsidP="00B06100">
            <w:pPr>
              <w:pStyle w:val="BodyText"/>
              <w:spacing w:before="40" w:after="40"/>
              <w:jc w:val="left"/>
              <w:rPr>
                <w:color w:val="0000FF"/>
                <w:sz w:val="18"/>
                <w:szCs w:val="18"/>
              </w:rPr>
            </w:pPr>
            <w:r w:rsidRPr="000945C5">
              <w:rPr>
                <w:color w:val="0000FF"/>
                <w:sz w:val="18"/>
                <w:szCs w:val="18"/>
              </w:rPr>
              <w:sym w:font="Wingdings" w:char="F0A8"/>
            </w:r>
            <w:r w:rsidRPr="000945C5">
              <w:rPr>
                <w:color w:val="0000FF"/>
                <w:sz w:val="18"/>
                <w:szCs w:val="18"/>
              </w:rPr>
              <w:t xml:space="preserve">      Speakers’ Bureau</w:t>
            </w:r>
          </w:p>
        </w:tc>
        <w:tc>
          <w:tcPr>
            <w:tcW w:w="7891" w:type="dxa"/>
            <w:tcBorders>
              <w:top w:val="single" w:sz="4" w:space="0" w:color="auto"/>
              <w:left w:val="single" w:sz="4" w:space="0" w:color="auto"/>
              <w:bottom w:val="single" w:sz="4" w:space="0" w:color="auto"/>
              <w:right w:val="single" w:sz="4" w:space="0" w:color="auto"/>
            </w:tcBorders>
          </w:tcPr>
          <w:p w:rsidR="000803A5" w:rsidRPr="000945C5" w:rsidRDefault="000803A5" w:rsidP="00B06100">
            <w:pPr>
              <w:pStyle w:val="BodyText"/>
              <w:spacing w:before="40" w:after="40"/>
              <w:jc w:val="left"/>
              <w:rPr>
                <w:color w:val="0000FF"/>
                <w:sz w:val="18"/>
                <w:szCs w:val="18"/>
              </w:rPr>
            </w:pPr>
          </w:p>
        </w:tc>
      </w:tr>
      <w:tr w:rsidR="000803A5" w:rsidRPr="000945C5" w:rsidTr="00B06100">
        <w:trPr>
          <w:jc w:val="right"/>
        </w:trPr>
        <w:tc>
          <w:tcPr>
            <w:tcW w:w="3600" w:type="dxa"/>
            <w:tcBorders>
              <w:top w:val="single" w:sz="4" w:space="0" w:color="auto"/>
              <w:left w:val="single" w:sz="4" w:space="0" w:color="auto"/>
              <w:bottom w:val="single" w:sz="4" w:space="0" w:color="auto"/>
              <w:right w:val="single" w:sz="4" w:space="0" w:color="auto"/>
            </w:tcBorders>
            <w:vAlign w:val="center"/>
          </w:tcPr>
          <w:p w:rsidR="000803A5" w:rsidRPr="000945C5" w:rsidRDefault="000803A5" w:rsidP="00B06100">
            <w:pPr>
              <w:pStyle w:val="BodyText"/>
              <w:spacing w:before="40" w:after="40"/>
              <w:jc w:val="left"/>
              <w:rPr>
                <w:color w:val="0000FF"/>
                <w:sz w:val="18"/>
                <w:szCs w:val="18"/>
              </w:rPr>
            </w:pPr>
            <w:r w:rsidRPr="000945C5">
              <w:rPr>
                <w:color w:val="0000FF"/>
                <w:sz w:val="18"/>
                <w:szCs w:val="18"/>
              </w:rPr>
              <w:sym w:font="Wingdings" w:char="F0A8"/>
            </w:r>
            <w:r w:rsidRPr="000945C5">
              <w:rPr>
                <w:color w:val="0000FF"/>
                <w:sz w:val="18"/>
                <w:szCs w:val="18"/>
              </w:rPr>
              <w:t xml:space="preserve">      Major Stock Shareholder</w:t>
            </w:r>
          </w:p>
        </w:tc>
        <w:tc>
          <w:tcPr>
            <w:tcW w:w="7891" w:type="dxa"/>
            <w:tcBorders>
              <w:top w:val="single" w:sz="4" w:space="0" w:color="auto"/>
              <w:left w:val="single" w:sz="4" w:space="0" w:color="auto"/>
              <w:bottom w:val="single" w:sz="4" w:space="0" w:color="auto"/>
              <w:right w:val="single" w:sz="4" w:space="0" w:color="auto"/>
            </w:tcBorders>
          </w:tcPr>
          <w:p w:rsidR="000803A5" w:rsidRPr="000945C5" w:rsidRDefault="000803A5" w:rsidP="00B06100">
            <w:pPr>
              <w:pStyle w:val="BodyText"/>
              <w:spacing w:before="40" w:after="40"/>
              <w:jc w:val="left"/>
              <w:rPr>
                <w:color w:val="0000FF"/>
                <w:sz w:val="18"/>
                <w:szCs w:val="18"/>
              </w:rPr>
            </w:pPr>
          </w:p>
        </w:tc>
      </w:tr>
      <w:tr w:rsidR="000803A5" w:rsidRPr="000945C5" w:rsidTr="00B06100">
        <w:trPr>
          <w:jc w:val="right"/>
        </w:trPr>
        <w:tc>
          <w:tcPr>
            <w:tcW w:w="3600" w:type="dxa"/>
            <w:tcBorders>
              <w:top w:val="single" w:sz="4" w:space="0" w:color="auto"/>
              <w:left w:val="single" w:sz="4" w:space="0" w:color="auto"/>
              <w:bottom w:val="single" w:sz="4" w:space="0" w:color="auto"/>
              <w:right w:val="single" w:sz="4" w:space="0" w:color="auto"/>
            </w:tcBorders>
            <w:vAlign w:val="center"/>
          </w:tcPr>
          <w:p w:rsidR="000803A5" w:rsidRPr="000945C5" w:rsidRDefault="000803A5" w:rsidP="00B06100">
            <w:pPr>
              <w:pStyle w:val="BodyText"/>
              <w:spacing w:before="40" w:after="40"/>
              <w:jc w:val="left"/>
              <w:rPr>
                <w:color w:val="0000FF"/>
                <w:sz w:val="18"/>
                <w:szCs w:val="18"/>
              </w:rPr>
            </w:pPr>
            <w:r w:rsidRPr="000945C5">
              <w:rPr>
                <w:color w:val="0000FF"/>
                <w:sz w:val="18"/>
                <w:szCs w:val="18"/>
              </w:rPr>
              <w:sym w:font="Wingdings" w:char="F0A8"/>
            </w:r>
            <w:r w:rsidRPr="000945C5">
              <w:rPr>
                <w:color w:val="0000FF"/>
                <w:sz w:val="18"/>
                <w:szCs w:val="18"/>
              </w:rPr>
              <w:t xml:space="preserve">      Other Financial or Material Support</w:t>
            </w:r>
          </w:p>
        </w:tc>
        <w:tc>
          <w:tcPr>
            <w:tcW w:w="7891" w:type="dxa"/>
            <w:tcBorders>
              <w:top w:val="single" w:sz="4" w:space="0" w:color="auto"/>
              <w:left w:val="single" w:sz="4" w:space="0" w:color="auto"/>
              <w:bottom w:val="single" w:sz="4" w:space="0" w:color="auto"/>
              <w:right w:val="single" w:sz="4" w:space="0" w:color="auto"/>
            </w:tcBorders>
          </w:tcPr>
          <w:p w:rsidR="000803A5" w:rsidRPr="000945C5" w:rsidRDefault="000803A5" w:rsidP="00B06100">
            <w:pPr>
              <w:pStyle w:val="BodyText"/>
              <w:spacing w:before="40" w:after="40"/>
              <w:jc w:val="left"/>
              <w:rPr>
                <w:color w:val="0000FF"/>
                <w:sz w:val="18"/>
                <w:szCs w:val="18"/>
              </w:rPr>
            </w:pPr>
          </w:p>
        </w:tc>
      </w:tr>
      <w:tr w:rsidR="000803A5" w:rsidRPr="000945C5" w:rsidTr="00B06100">
        <w:trPr>
          <w:jc w:val="right"/>
        </w:trPr>
        <w:tc>
          <w:tcPr>
            <w:tcW w:w="3600" w:type="dxa"/>
            <w:tcBorders>
              <w:top w:val="single" w:sz="4" w:space="0" w:color="auto"/>
              <w:left w:val="single" w:sz="4" w:space="0" w:color="auto"/>
              <w:bottom w:val="single" w:sz="4" w:space="0" w:color="auto"/>
              <w:right w:val="single" w:sz="4" w:space="0" w:color="auto"/>
            </w:tcBorders>
            <w:vAlign w:val="center"/>
          </w:tcPr>
          <w:p w:rsidR="000803A5" w:rsidRPr="000945C5" w:rsidRDefault="000803A5" w:rsidP="00B06100">
            <w:pPr>
              <w:pStyle w:val="BodyText"/>
              <w:spacing w:before="40" w:after="40"/>
              <w:jc w:val="left"/>
              <w:rPr>
                <w:color w:val="0000FF"/>
                <w:sz w:val="18"/>
                <w:szCs w:val="18"/>
              </w:rPr>
            </w:pPr>
            <w:r w:rsidRPr="000945C5">
              <w:rPr>
                <w:color w:val="0000FF"/>
                <w:sz w:val="18"/>
                <w:szCs w:val="18"/>
              </w:rPr>
              <w:sym w:font="Wingdings" w:char="F0A8"/>
            </w:r>
            <w:r w:rsidRPr="000945C5">
              <w:rPr>
                <w:color w:val="0000FF"/>
                <w:sz w:val="18"/>
                <w:szCs w:val="18"/>
              </w:rPr>
              <w:t xml:space="preserve">      Other</w:t>
            </w:r>
            <w:r w:rsidR="008F0EFB">
              <w:rPr>
                <w:color w:val="0000FF"/>
                <w:sz w:val="18"/>
                <w:szCs w:val="18"/>
              </w:rPr>
              <w:t>*</w:t>
            </w:r>
            <w:r w:rsidRPr="000945C5">
              <w:rPr>
                <w:color w:val="0000FF"/>
                <w:sz w:val="18"/>
                <w:szCs w:val="18"/>
              </w:rPr>
              <w:t xml:space="preserve"> (please identify)</w:t>
            </w:r>
          </w:p>
        </w:tc>
        <w:tc>
          <w:tcPr>
            <w:tcW w:w="7891" w:type="dxa"/>
            <w:tcBorders>
              <w:top w:val="single" w:sz="4" w:space="0" w:color="auto"/>
              <w:left w:val="single" w:sz="4" w:space="0" w:color="auto"/>
              <w:bottom w:val="single" w:sz="4" w:space="0" w:color="auto"/>
              <w:right w:val="single" w:sz="4" w:space="0" w:color="auto"/>
            </w:tcBorders>
          </w:tcPr>
          <w:p w:rsidR="000803A5" w:rsidRPr="000945C5" w:rsidRDefault="000803A5" w:rsidP="00B06100">
            <w:pPr>
              <w:pStyle w:val="BodyText"/>
              <w:spacing w:before="40" w:after="40"/>
              <w:jc w:val="left"/>
              <w:rPr>
                <w:color w:val="0000FF"/>
                <w:sz w:val="18"/>
                <w:szCs w:val="18"/>
              </w:rPr>
            </w:pPr>
          </w:p>
        </w:tc>
      </w:tr>
    </w:tbl>
    <w:p w:rsidR="00A35AB0" w:rsidRPr="00552A52" w:rsidRDefault="00A35AB0" w:rsidP="000803A5">
      <w:pPr>
        <w:ind w:left="360"/>
        <w:rPr>
          <w:sz w:val="16"/>
          <w:szCs w:val="16"/>
        </w:rPr>
      </w:pPr>
    </w:p>
    <w:tbl>
      <w:tblPr>
        <w:tblW w:w="11520" w:type="dxa"/>
        <w:tblInd w:w="115" w:type="dxa"/>
        <w:tblBorders>
          <w:bottom w:val="single" w:sz="4" w:space="0" w:color="auto"/>
        </w:tblBorders>
        <w:tblCellMar>
          <w:left w:w="115" w:type="dxa"/>
          <w:right w:w="115" w:type="dxa"/>
        </w:tblCellMar>
        <w:tblLook w:val="01E0"/>
      </w:tblPr>
      <w:tblGrid>
        <w:gridCol w:w="3600"/>
        <w:gridCol w:w="7920"/>
      </w:tblGrid>
      <w:tr w:rsidR="008F0EFB" w:rsidRPr="000945C5" w:rsidTr="008F0EFB">
        <w:trPr>
          <w:trHeight w:val="404"/>
        </w:trPr>
        <w:tc>
          <w:tcPr>
            <w:tcW w:w="3600" w:type="dxa"/>
            <w:tcBorders>
              <w:top w:val="double" w:sz="4" w:space="0" w:color="auto"/>
              <w:left w:val="double" w:sz="4" w:space="0" w:color="auto"/>
              <w:bottom w:val="single" w:sz="4" w:space="0" w:color="auto"/>
              <w:right w:val="double" w:sz="4" w:space="0" w:color="auto"/>
            </w:tcBorders>
            <w:shd w:val="clear" w:color="auto" w:fill="auto"/>
            <w:vAlign w:val="center"/>
          </w:tcPr>
          <w:p w:rsidR="008F0EFB" w:rsidRPr="000945C5" w:rsidRDefault="008F0EFB" w:rsidP="008F0EFB">
            <w:pPr>
              <w:pStyle w:val="BodyText"/>
              <w:spacing w:before="40" w:after="40"/>
              <w:jc w:val="left"/>
              <w:rPr>
                <w:color w:val="0000FF"/>
                <w:sz w:val="18"/>
                <w:szCs w:val="18"/>
              </w:rPr>
            </w:pPr>
            <w:r w:rsidRPr="000945C5">
              <w:rPr>
                <w:color w:val="0000FF"/>
                <w:sz w:val="18"/>
                <w:szCs w:val="18"/>
              </w:rPr>
              <w:sym w:font="Wingdings" w:char="F0A8"/>
            </w:r>
            <w:r w:rsidRPr="000945C5">
              <w:rPr>
                <w:color w:val="0000FF"/>
                <w:sz w:val="18"/>
                <w:szCs w:val="18"/>
              </w:rPr>
              <w:t xml:space="preserve">      </w:t>
            </w:r>
            <w:r>
              <w:rPr>
                <w:color w:val="0000FF"/>
                <w:sz w:val="18"/>
                <w:szCs w:val="18"/>
              </w:rPr>
              <w:t xml:space="preserve">NONE </w:t>
            </w:r>
          </w:p>
        </w:tc>
        <w:tc>
          <w:tcPr>
            <w:tcW w:w="7920" w:type="dxa"/>
            <w:tcBorders>
              <w:top w:val="single" w:sz="4" w:space="0" w:color="auto"/>
              <w:left w:val="double" w:sz="4" w:space="0" w:color="auto"/>
              <w:bottom w:val="single" w:sz="4" w:space="0" w:color="auto"/>
              <w:right w:val="single" w:sz="4" w:space="0" w:color="auto"/>
            </w:tcBorders>
            <w:shd w:val="clear" w:color="auto" w:fill="FFCC99"/>
            <w:vAlign w:val="center"/>
          </w:tcPr>
          <w:p w:rsidR="008F0EFB" w:rsidRPr="000945C5" w:rsidRDefault="008F0EFB" w:rsidP="00B06100">
            <w:pPr>
              <w:pStyle w:val="BodyText"/>
              <w:spacing w:before="40" w:after="120"/>
              <w:jc w:val="left"/>
              <w:rPr>
                <w:b/>
                <w:sz w:val="18"/>
                <w:szCs w:val="18"/>
              </w:rPr>
            </w:pPr>
            <w:r w:rsidRPr="000945C5">
              <w:rPr>
                <w:b/>
                <w:sz w:val="18"/>
                <w:szCs w:val="18"/>
              </w:rPr>
              <w:t xml:space="preserve">Neither I nor my spouse/partner has any </w:t>
            </w:r>
            <w:r>
              <w:rPr>
                <w:b/>
                <w:color w:val="FF0000"/>
                <w:sz w:val="18"/>
                <w:szCs w:val="18"/>
              </w:rPr>
              <w:t>RELEVANT</w:t>
            </w:r>
            <w:r w:rsidRPr="000945C5">
              <w:rPr>
                <w:b/>
                <w:sz w:val="18"/>
                <w:szCs w:val="18"/>
              </w:rPr>
              <w:t xml:space="preserve"> financial relationships with any commercial interests in relation to my involvement with the content of the proposed activity.</w:t>
            </w:r>
          </w:p>
        </w:tc>
      </w:tr>
    </w:tbl>
    <w:p w:rsidR="008F0EFB" w:rsidRDefault="008F0EFB" w:rsidP="008F0EFB">
      <w:pPr>
        <w:ind w:left="360"/>
        <w:rPr>
          <w:i/>
          <w:sz w:val="18"/>
          <w:szCs w:val="18"/>
        </w:rPr>
      </w:pPr>
    </w:p>
    <w:p w:rsidR="00A35AB0" w:rsidRPr="005E6A88" w:rsidRDefault="00A35AB0" w:rsidP="00A35AB0">
      <w:pPr>
        <w:pStyle w:val="BodyText"/>
        <w:spacing w:after="40"/>
        <w:ind w:left="360"/>
        <w:jc w:val="center"/>
        <w:rPr>
          <w:sz w:val="16"/>
          <w:szCs w:val="16"/>
        </w:rPr>
      </w:pPr>
      <w:r w:rsidRPr="005E6A88">
        <w:rPr>
          <w:sz w:val="16"/>
          <w:szCs w:val="16"/>
        </w:rPr>
        <w:t>Glossary of Terms</w:t>
      </w:r>
    </w:p>
    <w:p w:rsidR="003C3115" w:rsidRPr="00E63EF1" w:rsidRDefault="003C3115" w:rsidP="003C3115">
      <w:pPr>
        <w:pStyle w:val="BodyText"/>
        <w:spacing w:after="40"/>
        <w:jc w:val="left"/>
        <w:rPr>
          <w:sz w:val="16"/>
          <w:szCs w:val="16"/>
        </w:rPr>
      </w:pPr>
      <w:r w:rsidRPr="00E63EF1">
        <w:rPr>
          <w:sz w:val="16"/>
          <w:szCs w:val="16"/>
        </w:rPr>
        <w:t>Commercial Interest</w:t>
      </w:r>
    </w:p>
    <w:p w:rsidR="003C3115" w:rsidRPr="00E63EF1" w:rsidRDefault="003C3115" w:rsidP="003C3115">
      <w:pPr>
        <w:ind w:left="720"/>
        <w:rPr>
          <w:i/>
          <w:sz w:val="16"/>
          <w:szCs w:val="16"/>
        </w:rPr>
      </w:pPr>
      <w:r w:rsidRPr="00E63EF1">
        <w:rPr>
          <w:color w:val="000000"/>
          <w:sz w:val="16"/>
          <w:szCs w:val="16"/>
        </w:rPr>
        <w:t xml:space="preserve">Entities producing, marketing, re-selling, or distributing health care goods or services consumed by, or used on, patients; with </w:t>
      </w:r>
      <w:r>
        <w:rPr>
          <w:color w:val="000000"/>
          <w:sz w:val="16"/>
          <w:szCs w:val="16"/>
        </w:rPr>
        <w:t xml:space="preserve">the exemption of non-profit or </w:t>
      </w:r>
      <w:r w:rsidRPr="00E63EF1">
        <w:rPr>
          <w:color w:val="000000"/>
          <w:sz w:val="16"/>
          <w:szCs w:val="16"/>
        </w:rPr>
        <w:t>government organizations and providers of clinical services directly to patients.</w:t>
      </w:r>
      <w:r w:rsidRPr="00E63EF1">
        <w:rPr>
          <w:i/>
          <w:sz w:val="18"/>
          <w:szCs w:val="18"/>
        </w:rPr>
        <w:t xml:space="preserve"> </w:t>
      </w:r>
      <w:r w:rsidRPr="00E63EF1">
        <w:rPr>
          <w:i/>
          <w:sz w:val="16"/>
          <w:szCs w:val="16"/>
        </w:rPr>
        <w:t>* Note: Employees of Commercial Interests are excluded from participation if the content relates to the business lines and products of their employer.</w:t>
      </w:r>
    </w:p>
    <w:p w:rsidR="003C3115" w:rsidRPr="00E63EF1" w:rsidRDefault="003C3115" w:rsidP="003C3115">
      <w:pPr>
        <w:pStyle w:val="BodyText"/>
        <w:spacing w:after="40"/>
        <w:jc w:val="left"/>
        <w:rPr>
          <w:color w:val="000000"/>
          <w:sz w:val="16"/>
          <w:szCs w:val="16"/>
        </w:rPr>
      </w:pPr>
      <w:r w:rsidRPr="00E63EF1">
        <w:rPr>
          <w:color w:val="000000"/>
          <w:sz w:val="16"/>
          <w:szCs w:val="16"/>
        </w:rPr>
        <w:t>Financial Relationships</w:t>
      </w:r>
    </w:p>
    <w:p w:rsidR="003C3115" w:rsidRPr="00E63EF1" w:rsidRDefault="003C3115" w:rsidP="003C3115">
      <w:pPr>
        <w:pStyle w:val="BodyText"/>
        <w:spacing w:after="40"/>
        <w:ind w:left="720"/>
        <w:jc w:val="left"/>
        <w:rPr>
          <w:color w:val="000000"/>
          <w:sz w:val="16"/>
          <w:szCs w:val="16"/>
        </w:rPr>
      </w:pPr>
      <w:r w:rsidRPr="00E63EF1">
        <w:rPr>
          <w:sz w:val="16"/>
          <w:szCs w:val="16"/>
        </w:rPr>
        <w:t xml:space="preserve">Financial relationships are those relationships in which the individual benefits by receiving a salary, royalty, intellectual property rights, consulting fee, honoraria, ownership interest (e.g., stocks, stock options or other ownership interest, excluding diversified mutual funds), or other financial benefit. Financial </w:t>
      </w:r>
      <w:r w:rsidRPr="00E63EF1">
        <w:rPr>
          <w:sz w:val="16"/>
          <w:szCs w:val="16"/>
        </w:rPr>
        <w:tab/>
        <w:t>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 ACCME considers relationships of the person involved in the CME activity to include financial relationships of a spouse or partner.</w:t>
      </w:r>
    </w:p>
    <w:p w:rsidR="003C3115" w:rsidRPr="00E63EF1" w:rsidRDefault="003C3115" w:rsidP="003C3115">
      <w:pPr>
        <w:pStyle w:val="BodyText"/>
        <w:spacing w:after="40"/>
        <w:jc w:val="left"/>
        <w:rPr>
          <w:color w:val="000000"/>
          <w:sz w:val="16"/>
          <w:szCs w:val="16"/>
        </w:rPr>
      </w:pPr>
      <w:r w:rsidRPr="00E63EF1">
        <w:rPr>
          <w:color w:val="000000"/>
          <w:sz w:val="16"/>
          <w:szCs w:val="16"/>
          <w:u w:val="single"/>
        </w:rPr>
        <w:t xml:space="preserve">Relevant </w:t>
      </w:r>
      <w:r w:rsidRPr="00E63EF1">
        <w:rPr>
          <w:color w:val="000000"/>
          <w:sz w:val="16"/>
          <w:szCs w:val="16"/>
        </w:rPr>
        <w:t>Financial Relationships</w:t>
      </w:r>
    </w:p>
    <w:p w:rsidR="003C3115" w:rsidRPr="00E63EF1" w:rsidRDefault="003C3115" w:rsidP="003C3115">
      <w:pPr>
        <w:pStyle w:val="BodyText"/>
        <w:spacing w:after="40"/>
        <w:ind w:left="720"/>
        <w:jc w:val="left"/>
        <w:rPr>
          <w:color w:val="000000"/>
          <w:sz w:val="16"/>
          <w:szCs w:val="16"/>
        </w:rPr>
      </w:pPr>
      <w:r w:rsidRPr="00E63EF1">
        <w:rPr>
          <w:sz w:val="16"/>
          <w:szCs w:val="16"/>
        </w:rPr>
        <w:t xml:space="preserve">ACCME focuses on financial relationships with commercial interests in the twelve-month period preceding the time that the individual is being </w:t>
      </w:r>
      <w:r w:rsidRPr="00E63EF1">
        <w:rPr>
          <w:sz w:val="16"/>
          <w:szCs w:val="16"/>
        </w:rPr>
        <w:tab/>
        <w:t>asked to assume a role controlling content of the CME activity. ACCME has not set a minimal dollar amount for relationships to be significant. Inherent in any amount is the incentive to maintain or increase the value of the relationship. The ACCME defines “relevant financial relationships” as financial relationships in any amount occurrin</w:t>
      </w:r>
      <w:r>
        <w:rPr>
          <w:sz w:val="16"/>
          <w:szCs w:val="16"/>
        </w:rPr>
        <w:t>g within the past twelve months</w:t>
      </w:r>
      <w:r w:rsidRPr="00E63EF1">
        <w:rPr>
          <w:sz w:val="16"/>
          <w:szCs w:val="16"/>
        </w:rPr>
        <w:t xml:space="preserve"> that create a conflict of interest.</w:t>
      </w:r>
    </w:p>
    <w:p w:rsidR="003C3115" w:rsidRPr="00E63EF1" w:rsidRDefault="003C3115" w:rsidP="003C3115">
      <w:pPr>
        <w:pStyle w:val="BodyText"/>
        <w:spacing w:after="40"/>
        <w:jc w:val="left"/>
        <w:rPr>
          <w:color w:val="000000"/>
          <w:sz w:val="16"/>
          <w:szCs w:val="16"/>
        </w:rPr>
      </w:pPr>
      <w:r w:rsidRPr="00E63EF1">
        <w:rPr>
          <w:color w:val="000000"/>
          <w:sz w:val="16"/>
          <w:szCs w:val="16"/>
        </w:rPr>
        <w:t>Conflict of Interest (COI)</w:t>
      </w:r>
    </w:p>
    <w:p w:rsidR="003C3115" w:rsidRPr="00E63EF1" w:rsidRDefault="003C3115" w:rsidP="003C3115">
      <w:pPr>
        <w:ind w:left="720"/>
      </w:pPr>
      <w:r w:rsidRPr="00E63EF1">
        <w:rPr>
          <w:sz w:val="16"/>
          <w:szCs w:val="16"/>
        </w:rPr>
        <w:t>When an individual’s interests are aligned with those of a commercial interest, the interests of the individual are in “conflict</w:t>
      </w:r>
      <w:r w:rsidRPr="00E63EF1">
        <w:rPr>
          <w:rFonts w:eastAsia="MS Mincho"/>
          <w:sz w:val="16"/>
          <w:szCs w:val="16"/>
        </w:rPr>
        <w:t xml:space="preserve">” </w:t>
      </w:r>
      <w:r w:rsidRPr="00E63EF1">
        <w:rPr>
          <w:sz w:val="16"/>
          <w:szCs w:val="16"/>
        </w:rPr>
        <w:t xml:space="preserve">with the interests of the public. The ACCME considers financial relationships to create actual conflicts of interest in CME when individuals have both a financial relationship with a commercial interest </w:t>
      </w:r>
      <w:r w:rsidRPr="00E63EF1">
        <w:rPr>
          <w:b/>
          <w:bCs/>
          <w:sz w:val="16"/>
          <w:szCs w:val="16"/>
        </w:rPr>
        <w:t xml:space="preserve">and </w:t>
      </w:r>
      <w:r w:rsidRPr="00E63EF1">
        <w:rPr>
          <w:sz w:val="16"/>
          <w:szCs w:val="16"/>
        </w:rPr>
        <w:t xml:space="preserve">the opportunity to affect the content of CME about the products or services of that commercial interest. The potential for maintaining or increasing the value of the financial relationship with the commercial interest creates an incentive to influence the content of the CME – an incentive to insert </w:t>
      </w:r>
      <w:r w:rsidRPr="00E63EF1">
        <w:rPr>
          <w:sz w:val="16"/>
          <w:szCs w:val="16"/>
        </w:rPr>
        <w:tab/>
        <w:t xml:space="preserve">commercial bias. </w:t>
      </w:r>
    </w:p>
    <w:p w:rsidR="000803A5" w:rsidRPr="005E6A88" w:rsidRDefault="00A35AB0" w:rsidP="008B5BBA">
      <w:pPr>
        <w:pStyle w:val="BodyText"/>
        <w:spacing w:after="40"/>
        <w:ind w:left="360"/>
        <w:jc w:val="left"/>
        <w:rPr>
          <w:sz w:val="18"/>
          <w:szCs w:val="18"/>
        </w:rPr>
      </w:pPr>
      <w:r w:rsidRPr="005E6A88">
        <w:rPr>
          <w:sz w:val="18"/>
          <w:szCs w:val="18"/>
        </w:rPr>
        <w:br w:type="page"/>
      </w:r>
    </w:p>
    <w:p w:rsidR="004F6C48" w:rsidRPr="000E4125" w:rsidRDefault="004F6C48" w:rsidP="004F6C48">
      <w:pPr>
        <w:pStyle w:val="BodyText"/>
        <w:spacing w:after="40"/>
        <w:jc w:val="center"/>
      </w:pPr>
      <w:r w:rsidRPr="000E4125">
        <w:lastRenderedPageBreak/>
        <w:t>University of Rochester School of Medicine &amp; Dentistry (URSMD)</w:t>
      </w:r>
    </w:p>
    <w:p w:rsidR="004F6C48" w:rsidRPr="000E4125" w:rsidRDefault="003C3115" w:rsidP="004F6C48">
      <w:pPr>
        <w:jc w:val="center"/>
        <w:rPr>
          <w:b/>
        </w:rPr>
      </w:pPr>
      <w:r>
        <w:rPr>
          <w:b/>
        </w:rPr>
        <w:t>Center for Experiential Learning</w:t>
      </w:r>
    </w:p>
    <w:p w:rsidR="004F6C48" w:rsidRPr="000E4125" w:rsidRDefault="004F6C48" w:rsidP="004F6C48">
      <w:pPr>
        <w:rPr>
          <w:sz w:val="16"/>
          <w:szCs w:val="16"/>
        </w:rPr>
      </w:pPr>
    </w:p>
    <w:p w:rsidR="004F6C48" w:rsidRPr="000E4125" w:rsidRDefault="004F6C48" w:rsidP="004F6C48">
      <w:pPr>
        <w:pBdr>
          <w:top w:val="single" w:sz="4" w:space="0" w:color="auto"/>
          <w:left w:val="single" w:sz="4" w:space="4" w:color="auto"/>
          <w:bottom w:val="single" w:sz="4" w:space="1" w:color="auto"/>
          <w:right w:val="single" w:sz="4" w:space="4" w:color="auto"/>
        </w:pBdr>
        <w:shd w:val="clear" w:color="auto" w:fill="E0E0E0"/>
        <w:rPr>
          <w:b/>
          <w:sz w:val="16"/>
          <w:szCs w:val="16"/>
        </w:rPr>
      </w:pPr>
    </w:p>
    <w:p w:rsidR="004F6C48" w:rsidRPr="000E4125" w:rsidRDefault="004F6C48" w:rsidP="004F6C48">
      <w:pPr>
        <w:pBdr>
          <w:top w:val="single" w:sz="4" w:space="0" w:color="auto"/>
          <w:left w:val="single" w:sz="4" w:space="4" w:color="auto"/>
          <w:bottom w:val="single" w:sz="4" w:space="1" w:color="auto"/>
          <w:right w:val="single" w:sz="4" w:space="4" w:color="auto"/>
        </w:pBdr>
        <w:shd w:val="clear" w:color="auto" w:fill="E0E0E0"/>
        <w:jc w:val="center"/>
        <w:rPr>
          <w:b/>
          <w:sz w:val="32"/>
          <w:szCs w:val="32"/>
        </w:rPr>
      </w:pPr>
      <w:r w:rsidRPr="000E4125">
        <w:rPr>
          <w:b/>
          <w:sz w:val="32"/>
          <w:szCs w:val="32"/>
          <w:shd w:val="clear" w:color="auto" w:fill="E0E0E0"/>
        </w:rPr>
        <w:t>Policy for Identifying and Resolving Conflicts of Interest in CME</w:t>
      </w:r>
    </w:p>
    <w:p w:rsidR="004F6C48" w:rsidRPr="000E4125" w:rsidRDefault="004F6C48" w:rsidP="004F6C48">
      <w:pPr>
        <w:pBdr>
          <w:top w:val="single" w:sz="4" w:space="0" w:color="auto"/>
          <w:left w:val="single" w:sz="4" w:space="4" w:color="auto"/>
          <w:bottom w:val="single" w:sz="4" w:space="1" w:color="auto"/>
          <w:right w:val="single" w:sz="4" w:space="4" w:color="auto"/>
        </w:pBdr>
        <w:shd w:val="clear" w:color="auto" w:fill="E0E0E0"/>
        <w:rPr>
          <w:b/>
          <w:sz w:val="16"/>
          <w:szCs w:val="16"/>
        </w:rPr>
      </w:pPr>
    </w:p>
    <w:p w:rsidR="004F6C48" w:rsidRDefault="004F6C48" w:rsidP="004F6C48"/>
    <w:p w:rsidR="004F6C48" w:rsidRPr="000E4125" w:rsidRDefault="004F6C48" w:rsidP="004F6C48">
      <w:pPr>
        <w:rPr>
          <w:b/>
          <w:i/>
        </w:rPr>
      </w:pPr>
      <w:r w:rsidRPr="000E4125">
        <w:rPr>
          <w:b/>
          <w:i/>
        </w:rPr>
        <w:t>I.</w:t>
      </w:r>
      <w:r w:rsidRPr="000E4125">
        <w:rPr>
          <w:b/>
          <w:i/>
        </w:rPr>
        <w:tab/>
        <w:t>Background:</w:t>
      </w:r>
    </w:p>
    <w:p w:rsidR="004F6C48" w:rsidRPr="000E4125" w:rsidRDefault="004F6C48" w:rsidP="004F6C48">
      <w:pPr>
        <w:rPr>
          <w:sz w:val="22"/>
          <w:szCs w:val="22"/>
        </w:rPr>
      </w:pPr>
      <w:r w:rsidRPr="000E4125">
        <w:tab/>
      </w:r>
      <w:r w:rsidRPr="000E4125">
        <w:rPr>
          <w:sz w:val="22"/>
          <w:szCs w:val="22"/>
        </w:rPr>
        <w:t xml:space="preserve">This policy is designed to assist the institution in pursuing its academic and educational missions with regard to continuing medical education (CME) without undue influence by any individuals or groups associated with these CME activities.  It is recognized that faculty and staff – both from the </w:t>
      </w:r>
      <w:smartTag w:uri="urn:schemas-microsoft-com:office:smarttags" w:element="place">
        <w:smartTag w:uri="urn:schemas-microsoft-com:office:smarttags" w:element="PlaceType">
          <w:r w:rsidRPr="000E4125">
            <w:rPr>
              <w:sz w:val="22"/>
              <w:szCs w:val="22"/>
            </w:rPr>
            <w:t>University</w:t>
          </w:r>
        </w:smartTag>
        <w:r w:rsidRPr="000E4125">
          <w:rPr>
            <w:sz w:val="22"/>
            <w:szCs w:val="22"/>
          </w:rPr>
          <w:t xml:space="preserve"> of </w:t>
        </w:r>
        <w:smartTag w:uri="urn:schemas-microsoft-com:office:smarttags" w:element="PlaceName">
          <w:r w:rsidRPr="000E4125">
            <w:rPr>
              <w:sz w:val="22"/>
              <w:szCs w:val="22"/>
            </w:rPr>
            <w:t>Rochester</w:t>
          </w:r>
        </w:smartTag>
      </w:smartTag>
      <w:r w:rsidRPr="000E4125">
        <w:rPr>
          <w:sz w:val="22"/>
          <w:szCs w:val="22"/>
        </w:rPr>
        <w:t xml:space="preserve"> and from other institutions – may enter into financial and other materially beneficial relationships with commercial organizations.  It is important, however, that CME content be based on learner needs and not be biased by commercial or marketing interests.</w:t>
      </w:r>
    </w:p>
    <w:p w:rsidR="004F6C48" w:rsidRPr="000E4125" w:rsidRDefault="004F6C48" w:rsidP="004F6C48">
      <w:pPr>
        <w:rPr>
          <w:sz w:val="22"/>
          <w:szCs w:val="22"/>
        </w:rPr>
      </w:pPr>
      <w:r w:rsidRPr="000E4125">
        <w:rPr>
          <w:sz w:val="22"/>
          <w:szCs w:val="22"/>
        </w:rPr>
        <w:tab/>
        <w:t xml:space="preserve">Although a conflict of interest may create the potential to bias a presentation, it is accepted that most professionals associated with CME do not knowingly bias information.  They recognize the conflicts of interest and put their reputations, their institutions’ reputations, and their positions of trust ahead of personal gain from their relationships with a commercial organization.  In addition, the appearance of bias is an equally important concern, as the mere appearance of a conflict of interest may cast doubt on the objectivity of a presentation and undermine public trust. </w:t>
      </w:r>
    </w:p>
    <w:p w:rsidR="004F6C48" w:rsidRPr="000E4125" w:rsidRDefault="004F6C48" w:rsidP="004F6C48">
      <w:pPr>
        <w:ind w:firstLine="720"/>
        <w:rPr>
          <w:sz w:val="22"/>
          <w:szCs w:val="22"/>
        </w:rPr>
      </w:pPr>
      <w:r w:rsidRPr="000E4125">
        <w:rPr>
          <w:sz w:val="22"/>
          <w:szCs w:val="22"/>
        </w:rPr>
        <w:t>Full disclosure of conflicting or potentially conflicting interests, and then the resolution of those conflicts, has been advanced as the primary and usual means to protect the integrity of CME activities.</w:t>
      </w:r>
    </w:p>
    <w:p w:rsidR="004F6C48" w:rsidRPr="000E4125" w:rsidRDefault="004F6C48" w:rsidP="004F6C48">
      <w:pPr>
        <w:rPr>
          <w:sz w:val="22"/>
          <w:szCs w:val="22"/>
        </w:rPr>
      </w:pPr>
    </w:p>
    <w:p w:rsidR="004F6C48" w:rsidRPr="000E4125" w:rsidRDefault="004F6C48" w:rsidP="004F6C48">
      <w:pPr>
        <w:rPr>
          <w:b/>
          <w:i/>
        </w:rPr>
      </w:pPr>
      <w:r w:rsidRPr="000E4125">
        <w:rPr>
          <w:b/>
          <w:i/>
        </w:rPr>
        <w:t>II.</w:t>
      </w:r>
      <w:r w:rsidRPr="000E4125">
        <w:rPr>
          <w:b/>
          <w:i/>
        </w:rPr>
        <w:tab/>
        <w:t>Goals:</w:t>
      </w:r>
    </w:p>
    <w:p w:rsidR="004F6C48" w:rsidRPr="000E4125" w:rsidRDefault="004F6C48" w:rsidP="004F6C48">
      <w:pPr>
        <w:rPr>
          <w:sz w:val="22"/>
          <w:szCs w:val="22"/>
        </w:rPr>
      </w:pPr>
      <w:r w:rsidRPr="000E4125">
        <w:tab/>
      </w:r>
      <w:r w:rsidRPr="000E4125">
        <w:rPr>
          <w:sz w:val="22"/>
          <w:szCs w:val="22"/>
        </w:rPr>
        <w:t xml:space="preserve">The purpose of this policy is to describe appropriate processes and procedures to identify all actual and/or potential conflicts of interest and describe ways to resolve them prior to the CME activity, resulting in a successful conclusion. </w:t>
      </w:r>
    </w:p>
    <w:p w:rsidR="004F6C48" w:rsidRDefault="004F6C48" w:rsidP="004F6C48">
      <w:pPr>
        <w:rPr>
          <w:i/>
          <w:sz w:val="22"/>
          <w:szCs w:val="22"/>
        </w:rPr>
      </w:pPr>
      <w:r w:rsidRPr="000E4125">
        <w:rPr>
          <w:sz w:val="22"/>
          <w:szCs w:val="22"/>
        </w:rPr>
        <w:tab/>
        <w:t xml:space="preserve">Any relationship that exists between an individual and a commercial organization that suggests or implies a financial or contractual relationship or one that if brought to the public attention would in any way diminish the reputation of the individual, the institution, or the commercial organization should be reported to the institution sponsoring the CME activity.  In addition, teachers/authors will be expected to offer CME that is objective, balanced, scientifically rigorous, and in compliance with the </w:t>
      </w:r>
      <w:r w:rsidRPr="000E4125">
        <w:rPr>
          <w:i/>
          <w:sz w:val="22"/>
          <w:szCs w:val="22"/>
        </w:rPr>
        <w:t xml:space="preserve">2004 Updated ACCME Standards for Commercial Support. </w:t>
      </w:r>
    </w:p>
    <w:p w:rsidR="006D3F2D" w:rsidRPr="000E4125" w:rsidRDefault="006D3F2D" w:rsidP="004F6C48">
      <w:pPr>
        <w:rPr>
          <w:i/>
          <w:sz w:val="22"/>
          <w:szCs w:val="22"/>
        </w:rPr>
      </w:pPr>
      <w:r>
        <w:rPr>
          <w:i/>
          <w:sz w:val="22"/>
          <w:szCs w:val="22"/>
        </w:rPr>
        <w:tab/>
      </w:r>
      <w:r>
        <w:rPr>
          <w:sz w:val="22"/>
          <w:szCs w:val="22"/>
        </w:rPr>
        <w:t>ACCME Standards for Commercial Support of CME require that presentations be free of commercial bias and that any information regarding commercial products/services be based on scientific methods generally accepted by the medical community.  When discussing therapeutic options, speakers are requested to use only generic names.  If they use a trade name, then those of several companies should be used.  If a presentation includes discussion of any unlabelled or investigational use of a commercial product, speakers are required to disclose this to the participants.</w:t>
      </w:r>
    </w:p>
    <w:p w:rsidR="004F6C48" w:rsidRPr="000E4125" w:rsidRDefault="004F6C48" w:rsidP="004F6C48"/>
    <w:p w:rsidR="004F6C48" w:rsidRPr="000E4125" w:rsidRDefault="004F6C48" w:rsidP="004F6C48">
      <w:pPr>
        <w:rPr>
          <w:b/>
          <w:i/>
        </w:rPr>
      </w:pPr>
      <w:r w:rsidRPr="000E4125">
        <w:rPr>
          <w:b/>
          <w:i/>
        </w:rPr>
        <w:t>III.</w:t>
      </w:r>
      <w:r w:rsidRPr="000E4125">
        <w:rPr>
          <w:b/>
          <w:i/>
        </w:rPr>
        <w:tab/>
        <w:t>Policy:</w:t>
      </w:r>
    </w:p>
    <w:p w:rsidR="004F6C48" w:rsidRPr="000E4125" w:rsidRDefault="004F6C48" w:rsidP="004F6C48">
      <w:pPr>
        <w:numPr>
          <w:ilvl w:val="0"/>
          <w:numId w:val="9"/>
        </w:numPr>
        <w:rPr>
          <w:sz w:val="22"/>
          <w:szCs w:val="22"/>
        </w:rPr>
      </w:pPr>
      <w:r w:rsidRPr="000E4125">
        <w:rPr>
          <w:sz w:val="22"/>
          <w:szCs w:val="22"/>
        </w:rPr>
        <w:t xml:space="preserve">The University </w:t>
      </w:r>
      <w:proofErr w:type="gramStart"/>
      <w:r w:rsidRPr="000E4125">
        <w:rPr>
          <w:sz w:val="22"/>
          <w:szCs w:val="22"/>
        </w:rPr>
        <w:t>of</w:t>
      </w:r>
      <w:proofErr w:type="gramEnd"/>
      <w:r w:rsidRPr="000E4125">
        <w:rPr>
          <w:sz w:val="22"/>
          <w:szCs w:val="22"/>
        </w:rPr>
        <w:t xml:space="preserve"> Rochester </w:t>
      </w:r>
      <w:r w:rsidR="003C3115">
        <w:rPr>
          <w:sz w:val="22"/>
          <w:szCs w:val="22"/>
        </w:rPr>
        <w:t>Center for Experiential Learning (CEL)</w:t>
      </w:r>
      <w:r w:rsidRPr="000E4125">
        <w:rPr>
          <w:sz w:val="22"/>
          <w:szCs w:val="22"/>
        </w:rPr>
        <w:t xml:space="preserve"> will provide a process for identifying, and mechanisms for resolving, actual or potential conflicts of interest (COI) prior to awarding </w:t>
      </w:r>
      <w:r>
        <w:rPr>
          <w:sz w:val="22"/>
          <w:szCs w:val="22"/>
        </w:rPr>
        <w:t xml:space="preserve">AMA PRA </w:t>
      </w:r>
      <w:r w:rsidRPr="000E4125">
        <w:rPr>
          <w:sz w:val="22"/>
          <w:szCs w:val="22"/>
        </w:rPr>
        <w:t>Category 1</w:t>
      </w:r>
      <w:r>
        <w:rPr>
          <w:sz w:val="22"/>
          <w:szCs w:val="22"/>
        </w:rPr>
        <w:t xml:space="preserve"> </w:t>
      </w:r>
      <w:r w:rsidRPr="000E4125">
        <w:rPr>
          <w:sz w:val="22"/>
          <w:szCs w:val="22"/>
        </w:rPr>
        <w:t>credit for CME activities.</w:t>
      </w:r>
    </w:p>
    <w:p w:rsidR="004F6C48" w:rsidRPr="000E4125" w:rsidRDefault="004F6C48" w:rsidP="004F6C48">
      <w:pPr>
        <w:rPr>
          <w:sz w:val="16"/>
          <w:szCs w:val="16"/>
        </w:rPr>
      </w:pPr>
    </w:p>
    <w:p w:rsidR="004F6C48" w:rsidRPr="000E4125" w:rsidRDefault="004F6C48" w:rsidP="004F6C48">
      <w:pPr>
        <w:numPr>
          <w:ilvl w:val="0"/>
          <w:numId w:val="9"/>
        </w:numPr>
        <w:rPr>
          <w:i/>
          <w:sz w:val="22"/>
          <w:szCs w:val="22"/>
        </w:rPr>
      </w:pPr>
      <w:r>
        <w:rPr>
          <w:sz w:val="22"/>
          <w:szCs w:val="22"/>
        </w:rPr>
        <w:t>Anyone</w:t>
      </w:r>
      <w:r w:rsidRPr="000E4125">
        <w:rPr>
          <w:sz w:val="22"/>
          <w:szCs w:val="22"/>
        </w:rPr>
        <w:t xml:space="preserve"> in a position to control the content of a proposed CME activity will complete a </w:t>
      </w:r>
      <w:r w:rsidR="003C3115">
        <w:rPr>
          <w:i/>
          <w:sz w:val="22"/>
          <w:szCs w:val="22"/>
        </w:rPr>
        <w:t>Planner-Presenter</w:t>
      </w:r>
      <w:r>
        <w:rPr>
          <w:sz w:val="22"/>
          <w:szCs w:val="22"/>
        </w:rPr>
        <w:t xml:space="preserve"> </w:t>
      </w:r>
      <w:r w:rsidRPr="000E4125">
        <w:rPr>
          <w:i/>
          <w:sz w:val="22"/>
          <w:szCs w:val="22"/>
        </w:rPr>
        <w:t>Declaration Form.</w:t>
      </w:r>
    </w:p>
    <w:p w:rsidR="004F6C48" w:rsidRPr="000E4125" w:rsidRDefault="004F6C48" w:rsidP="004F6C48">
      <w:pPr>
        <w:rPr>
          <w:sz w:val="16"/>
          <w:szCs w:val="16"/>
        </w:rPr>
      </w:pPr>
    </w:p>
    <w:p w:rsidR="004F6C48" w:rsidRPr="000E4125" w:rsidRDefault="004F6C48" w:rsidP="004F6C48">
      <w:pPr>
        <w:numPr>
          <w:ilvl w:val="0"/>
          <w:numId w:val="9"/>
        </w:numPr>
        <w:rPr>
          <w:sz w:val="22"/>
          <w:szCs w:val="22"/>
        </w:rPr>
      </w:pPr>
      <w:r w:rsidRPr="000E4125">
        <w:rPr>
          <w:sz w:val="22"/>
          <w:szCs w:val="22"/>
        </w:rPr>
        <w:t>The primary responsibility to identify, address and attempt to resolve any COI belongs t</w:t>
      </w:r>
      <w:r w:rsidR="003C3115">
        <w:rPr>
          <w:sz w:val="22"/>
          <w:szCs w:val="22"/>
        </w:rPr>
        <w:t>o the Activity Director.  The CEL</w:t>
      </w:r>
      <w:r w:rsidRPr="000E4125">
        <w:rPr>
          <w:sz w:val="22"/>
          <w:szCs w:val="22"/>
        </w:rPr>
        <w:t xml:space="preserve"> staff will be available to assist with this process.</w:t>
      </w:r>
    </w:p>
    <w:p w:rsidR="004F6C48" w:rsidRPr="000E4125" w:rsidRDefault="004F6C48" w:rsidP="004F6C48">
      <w:pPr>
        <w:rPr>
          <w:sz w:val="16"/>
          <w:szCs w:val="16"/>
        </w:rPr>
      </w:pPr>
    </w:p>
    <w:p w:rsidR="004F6C48" w:rsidRPr="000E4125" w:rsidRDefault="004F6C48" w:rsidP="004F6C48">
      <w:pPr>
        <w:numPr>
          <w:ilvl w:val="0"/>
          <w:numId w:val="9"/>
        </w:numPr>
        <w:rPr>
          <w:sz w:val="22"/>
          <w:szCs w:val="22"/>
        </w:rPr>
      </w:pPr>
      <w:r w:rsidRPr="000E4125">
        <w:rPr>
          <w:sz w:val="22"/>
          <w:szCs w:val="22"/>
        </w:rPr>
        <w:t xml:space="preserve">All identified actual and potential COI, along with resolution mechanisms, will be disclosed to CME activity participants. </w:t>
      </w:r>
    </w:p>
    <w:p w:rsidR="004F6C48" w:rsidRPr="000E4125" w:rsidRDefault="004F6C48" w:rsidP="004F6C48">
      <w:pPr>
        <w:rPr>
          <w:sz w:val="22"/>
          <w:szCs w:val="22"/>
        </w:rPr>
      </w:pPr>
    </w:p>
    <w:p w:rsidR="004F6C48" w:rsidRPr="000E4125" w:rsidRDefault="004F6C48" w:rsidP="004F6C48">
      <w:pPr>
        <w:rPr>
          <w:b/>
          <w:i/>
        </w:rPr>
      </w:pPr>
      <w:r w:rsidRPr="000E4125">
        <w:rPr>
          <w:b/>
          <w:i/>
        </w:rPr>
        <w:t>IV.</w:t>
      </w:r>
      <w:r w:rsidRPr="000E4125">
        <w:rPr>
          <w:b/>
          <w:i/>
        </w:rPr>
        <w:tab/>
        <w:t>Mechanisms for Resolving Conflicts of Interest:</w:t>
      </w:r>
    </w:p>
    <w:p w:rsidR="004F6C48" w:rsidRPr="000E4125" w:rsidRDefault="004F6C48" w:rsidP="004F6C48">
      <w:pPr>
        <w:rPr>
          <w:sz w:val="22"/>
          <w:szCs w:val="22"/>
        </w:rPr>
      </w:pPr>
      <w:r w:rsidRPr="000E4125">
        <w:tab/>
      </w:r>
      <w:r w:rsidRPr="000E4125">
        <w:rPr>
          <w:sz w:val="22"/>
          <w:szCs w:val="22"/>
        </w:rPr>
        <w:t>The following are suggested mechanisms for resolving conflicts of interest (COI).</w:t>
      </w:r>
    </w:p>
    <w:p w:rsidR="004F6C48" w:rsidRPr="000E4125" w:rsidRDefault="004F6C48" w:rsidP="004F6C48">
      <w:pPr>
        <w:rPr>
          <w:sz w:val="16"/>
          <w:szCs w:val="16"/>
        </w:rPr>
      </w:pPr>
    </w:p>
    <w:p w:rsidR="004F6C48" w:rsidRPr="000E4125" w:rsidRDefault="004F6C48" w:rsidP="004F6C48">
      <w:pPr>
        <w:numPr>
          <w:ilvl w:val="0"/>
          <w:numId w:val="10"/>
        </w:numPr>
        <w:tabs>
          <w:tab w:val="clear" w:pos="1080"/>
          <w:tab w:val="num" w:pos="720"/>
        </w:tabs>
        <w:ind w:left="720"/>
        <w:rPr>
          <w:i/>
          <w:sz w:val="22"/>
          <w:szCs w:val="22"/>
        </w:rPr>
      </w:pPr>
      <w:r w:rsidRPr="000E4125">
        <w:rPr>
          <w:i/>
          <w:sz w:val="22"/>
          <w:szCs w:val="22"/>
        </w:rPr>
        <w:t>Attestation:</w:t>
      </w:r>
    </w:p>
    <w:p w:rsidR="004F6C48" w:rsidRDefault="004F6C48" w:rsidP="004F6C48">
      <w:pPr>
        <w:ind w:left="720"/>
        <w:rPr>
          <w:sz w:val="22"/>
          <w:szCs w:val="22"/>
        </w:rPr>
      </w:pPr>
      <w:r w:rsidRPr="000E4125">
        <w:rPr>
          <w:sz w:val="22"/>
          <w:szCs w:val="22"/>
        </w:rPr>
        <w:t>Persons who indicate the existence of potential or actual COI will be asked to agree in writing that said conflicts or relationships will not bias or otherwise influence their involvement in the CME activity.  Furthermore, teachers/authors will be required to limit practice recommendations to those based on the best available evidence (or absence of evidence) and that such recommendations be consistent with generally accepted medical practice.</w:t>
      </w:r>
      <w:r>
        <w:rPr>
          <w:sz w:val="22"/>
          <w:szCs w:val="22"/>
        </w:rPr>
        <w:t xml:space="preserve">  The activity director will review and approve this approach on a case basis.</w:t>
      </w:r>
    </w:p>
    <w:p w:rsidR="005E6A88" w:rsidRDefault="005E6A88" w:rsidP="004F6C48">
      <w:pPr>
        <w:ind w:left="720"/>
        <w:rPr>
          <w:sz w:val="22"/>
          <w:szCs w:val="22"/>
        </w:rPr>
      </w:pPr>
    </w:p>
    <w:p w:rsidR="004F6C48" w:rsidRPr="000E4125" w:rsidRDefault="004F6C48" w:rsidP="004F6C48">
      <w:pPr>
        <w:ind w:left="720"/>
        <w:rPr>
          <w:sz w:val="22"/>
          <w:szCs w:val="22"/>
        </w:rPr>
      </w:pPr>
    </w:p>
    <w:p w:rsidR="004F6C48" w:rsidRPr="000E4125" w:rsidRDefault="004F6C48" w:rsidP="004F6C48">
      <w:pPr>
        <w:numPr>
          <w:ilvl w:val="0"/>
          <w:numId w:val="10"/>
        </w:numPr>
        <w:tabs>
          <w:tab w:val="clear" w:pos="1080"/>
          <w:tab w:val="num" w:pos="720"/>
        </w:tabs>
        <w:ind w:left="720"/>
        <w:rPr>
          <w:i/>
          <w:sz w:val="22"/>
          <w:szCs w:val="22"/>
        </w:rPr>
      </w:pPr>
      <w:r w:rsidRPr="000E4125">
        <w:rPr>
          <w:i/>
          <w:sz w:val="22"/>
          <w:szCs w:val="22"/>
        </w:rPr>
        <w:t>Evaluation:</w:t>
      </w:r>
    </w:p>
    <w:p w:rsidR="004F6C48" w:rsidRDefault="004F6C48" w:rsidP="004F6C48">
      <w:pPr>
        <w:ind w:left="720"/>
        <w:rPr>
          <w:sz w:val="22"/>
          <w:szCs w:val="22"/>
        </w:rPr>
      </w:pPr>
      <w:r w:rsidRPr="000E4125">
        <w:rPr>
          <w:sz w:val="22"/>
          <w:szCs w:val="22"/>
        </w:rPr>
        <w:lastRenderedPageBreak/>
        <w:t>Attendees will be queried regarding their impressions concerning bias (or absence of bias) within the activity.  Activity Directors and teachers/authors will receive copies of the evaluation summaries and comments.</w:t>
      </w:r>
    </w:p>
    <w:p w:rsidR="004F6C48" w:rsidRPr="000E4125" w:rsidRDefault="004F6C48" w:rsidP="004F6C48">
      <w:pPr>
        <w:ind w:left="720"/>
        <w:rPr>
          <w:sz w:val="22"/>
          <w:szCs w:val="22"/>
        </w:rPr>
      </w:pPr>
    </w:p>
    <w:p w:rsidR="004F6C48" w:rsidRPr="000E4125" w:rsidRDefault="004F6C48" w:rsidP="004F6C48">
      <w:pPr>
        <w:numPr>
          <w:ilvl w:val="0"/>
          <w:numId w:val="10"/>
        </w:numPr>
        <w:tabs>
          <w:tab w:val="clear" w:pos="1080"/>
          <w:tab w:val="num" w:pos="720"/>
        </w:tabs>
        <w:ind w:left="720"/>
        <w:rPr>
          <w:i/>
          <w:sz w:val="22"/>
          <w:szCs w:val="22"/>
        </w:rPr>
      </w:pPr>
      <w:r w:rsidRPr="000E4125">
        <w:rPr>
          <w:i/>
          <w:sz w:val="22"/>
          <w:szCs w:val="22"/>
        </w:rPr>
        <w:t>Peer Evaluation:</w:t>
      </w:r>
    </w:p>
    <w:p w:rsidR="004F6C48" w:rsidRPr="000E4125" w:rsidRDefault="004F6C48" w:rsidP="004F6C48">
      <w:pPr>
        <w:ind w:left="720"/>
        <w:rPr>
          <w:sz w:val="22"/>
          <w:szCs w:val="22"/>
        </w:rPr>
      </w:pPr>
      <w:r w:rsidRPr="000E4125">
        <w:rPr>
          <w:sz w:val="22"/>
          <w:szCs w:val="22"/>
        </w:rPr>
        <w:t>An informed learner or peer (not involved in the planning and/or teaching of the activity) will be present, to the fullest extent possible, at a particular CME activity.  This evaluator will be asked to complete a formal detailed evaluation to measure any bias in the activity.</w:t>
      </w:r>
      <w:r>
        <w:rPr>
          <w:sz w:val="22"/>
          <w:szCs w:val="22"/>
        </w:rPr>
        <w:t xml:space="preserve"> This evaluation will be submitted to the activity director to determine further action.</w:t>
      </w:r>
    </w:p>
    <w:p w:rsidR="004F6C48" w:rsidRPr="000E4125" w:rsidRDefault="004F6C48" w:rsidP="004F6C48">
      <w:pPr>
        <w:rPr>
          <w:sz w:val="22"/>
          <w:szCs w:val="22"/>
        </w:rPr>
      </w:pPr>
    </w:p>
    <w:p w:rsidR="004F6C48" w:rsidRPr="000E4125" w:rsidRDefault="004F6C48" w:rsidP="004F6C48">
      <w:pPr>
        <w:numPr>
          <w:ilvl w:val="0"/>
          <w:numId w:val="10"/>
        </w:numPr>
        <w:tabs>
          <w:tab w:val="clear" w:pos="1080"/>
          <w:tab w:val="num" w:pos="720"/>
        </w:tabs>
        <w:ind w:left="720"/>
        <w:rPr>
          <w:i/>
          <w:sz w:val="22"/>
          <w:szCs w:val="22"/>
        </w:rPr>
      </w:pPr>
      <w:r w:rsidRPr="000E4125">
        <w:rPr>
          <w:i/>
          <w:sz w:val="22"/>
          <w:szCs w:val="22"/>
        </w:rPr>
        <w:t>Independent content evaluation:</w:t>
      </w:r>
    </w:p>
    <w:p w:rsidR="004F6C48" w:rsidRPr="000E4125" w:rsidRDefault="004F6C48" w:rsidP="004F6C48">
      <w:pPr>
        <w:ind w:left="720"/>
        <w:rPr>
          <w:sz w:val="22"/>
          <w:szCs w:val="22"/>
        </w:rPr>
      </w:pPr>
      <w:r w:rsidRPr="000E4125">
        <w:rPr>
          <w:sz w:val="22"/>
          <w:szCs w:val="22"/>
        </w:rPr>
        <w:t>Scientific abstracts and free-standing papers or articles in enduring materials are often peer-reviewed or judged against predetermined criteria to ensure the data supports the conclusions before they are accepted for presentation or publication.  Similarly, individuals working together to do reviews of activity content can resolve COI by ensuring the content is valid, aligned with the interests of the public, and:</w:t>
      </w:r>
    </w:p>
    <w:p w:rsidR="004F6C48" w:rsidRPr="000E4125" w:rsidRDefault="004F6C48" w:rsidP="004F6C48">
      <w:pPr>
        <w:rPr>
          <w:sz w:val="16"/>
          <w:szCs w:val="16"/>
        </w:rPr>
      </w:pPr>
    </w:p>
    <w:p w:rsidR="004F6C48" w:rsidRPr="000E4125" w:rsidRDefault="004F6C48" w:rsidP="004F6C48">
      <w:pPr>
        <w:numPr>
          <w:ilvl w:val="1"/>
          <w:numId w:val="10"/>
        </w:numPr>
        <w:tabs>
          <w:tab w:val="clear" w:pos="1440"/>
          <w:tab w:val="num" w:pos="1080"/>
        </w:tabs>
        <w:ind w:left="1080"/>
        <w:rPr>
          <w:sz w:val="22"/>
          <w:szCs w:val="22"/>
        </w:rPr>
      </w:pPr>
      <w:r w:rsidRPr="000E4125">
        <w:rPr>
          <w:sz w:val="22"/>
          <w:szCs w:val="22"/>
        </w:rPr>
        <w:t>All the recommendations involving clinical medicine are based on the best available evidence – evidence that is accepted within the profession of medicine as adequate justification for their indications and contraindications in the care of patients.</w:t>
      </w:r>
    </w:p>
    <w:p w:rsidR="004F6C48" w:rsidRPr="000E4125" w:rsidRDefault="004F6C48" w:rsidP="004F6C48">
      <w:pPr>
        <w:rPr>
          <w:sz w:val="16"/>
          <w:szCs w:val="16"/>
        </w:rPr>
      </w:pPr>
    </w:p>
    <w:p w:rsidR="004F6C48" w:rsidRPr="000E4125" w:rsidRDefault="004F6C48" w:rsidP="004F6C48">
      <w:pPr>
        <w:numPr>
          <w:ilvl w:val="1"/>
          <w:numId w:val="10"/>
        </w:numPr>
        <w:tabs>
          <w:tab w:val="clear" w:pos="1440"/>
          <w:tab w:val="num" w:pos="1080"/>
        </w:tabs>
        <w:ind w:left="1080"/>
        <w:rPr>
          <w:sz w:val="22"/>
          <w:szCs w:val="22"/>
        </w:rPr>
      </w:pPr>
      <w:r w:rsidRPr="000E4125">
        <w:rPr>
          <w:sz w:val="22"/>
          <w:szCs w:val="22"/>
        </w:rPr>
        <w:t>All scientific research referred to, reported, or used in a CME activity in support or as justification of patient care recommendations conforms to the generally accepted standards of experimental design, data collection, and analysis.</w:t>
      </w:r>
    </w:p>
    <w:p w:rsidR="004F6C48" w:rsidRPr="000E4125" w:rsidRDefault="004F6C48" w:rsidP="004F6C48">
      <w:pPr>
        <w:rPr>
          <w:i/>
          <w:sz w:val="22"/>
          <w:szCs w:val="22"/>
        </w:rPr>
      </w:pPr>
    </w:p>
    <w:p w:rsidR="004F6C48" w:rsidRPr="000E4125" w:rsidRDefault="004F6C48" w:rsidP="004F6C48">
      <w:pPr>
        <w:numPr>
          <w:ilvl w:val="0"/>
          <w:numId w:val="10"/>
        </w:numPr>
        <w:tabs>
          <w:tab w:val="clear" w:pos="1080"/>
          <w:tab w:val="num" w:pos="720"/>
        </w:tabs>
        <w:ind w:left="720"/>
        <w:rPr>
          <w:i/>
          <w:sz w:val="22"/>
          <w:szCs w:val="22"/>
        </w:rPr>
      </w:pPr>
      <w:r w:rsidRPr="000E4125">
        <w:rPr>
          <w:i/>
          <w:sz w:val="22"/>
          <w:szCs w:val="22"/>
        </w:rPr>
        <w:t xml:space="preserve">Altering financial relationships:  </w:t>
      </w:r>
    </w:p>
    <w:p w:rsidR="004F6C48" w:rsidRPr="000E4125" w:rsidRDefault="004F6C48" w:rsidP="004F6C48">
      <w:pPr>
        <w:ind w:left="720"/>
        <w:rPr>
          <w:sz w:val="22"/>
          <w:szCs w:val="22"/>
        </w:rPr>
      </w:pPr>
      <w:r w:rsidRPr="000E4125">
        <w:rPr>
          <w:sz w:val="22"/>
          <w:szCs w:val="22"/>
        </w:rPr>
        <w:t>An individual may change his/her relationships with commercial interests, e.g. discontinue contract services, and in doing so, no duty, loyalty, or incentive remains to introduce bias into the CME content. However, when individuals divest themselves of a relationship, it is immediately not relevant to conflicts of interest, but still must be disclosed to learners for 12 months.</w:t>
      </w:r>
    </w:p>
    <w:p w:rsidR="004F6C48" w:rsidRPr="000E4125" w:rsidRDefault="004F6C48" w:rsidP="004F6C48">
      <w:pPr>
        <w:rPr>
          <w:i/>
          <w:sz w:val="22"/>
          <w:szCs w:val="22"/>
        </w:rPr>
      </w:pPr>
    </w:p>
    <w:p w:rsidR="004F6C48" w:rsidRPr="000E4125" w:rsidRDefault="004F6C48" w:rsidP="004F6C48">
      <w:pPr>
        <w:numPr>
          <w:ilvl w:val="0"/>
          <w:numId w:val="10"/>
        </w:numPr>
        <w:tabs>
          <w:tab w:val="clear" w:pos="1080"/>
          <w:tab w:val="num" w:pos="720"/>
        </w:tabs>
        <w:ind w:left="720"/>
        <w:rPr>
          <w:i/>
          <w:sz w:val="22"/>
          <w:szCs w:val="22"/>
        </w:rPr>
      </w:pPr>
      <w:r w:rsidRPr="000E4125">
        <w:rPr>
          <w:i/>
          <w:sz w:val="22"/>
          <w:szCs w:val="22"/>
        </w:rPr>
        <w:t xml:space="preserve">Altering control over content: </w:t>
      </w:r>
    </w:p>
    <w:p w:rsidR="004F6C48" w:rsidRPr="000E4125" w:rsidRDefault="004F6C48" w:rsidP="004F6C48">
      <w:pPr>
        <w:ind w:left="720"/>
        <w:rPr>
          <w:sz w:val="22"/>
          <w:szCs w:val="22"/>
        </w:rPr>
      </w:pPr>
      <w:r w:rsidRPr="000E4125">
        <w:rPr>
          <w:sz w:val="22"/>
          <w:szCs w:val="22"/>
        </w:rPr>
        <w:t>An individual’s control of CME content can be altered in several ways to remove the opportunity to affect content related to the products/services of a commercial interest.  These can include:</w:t>
      </w:r>
    </w:p>
    <w:p w:rsidR="004F6C48" w:rsidRPr="000E4125" w:rsidRDefault="004F6C48" w:rsidP="004F6C48">
      <w:pPr>
        <w:ind w:left="720"/>
        <w:rPr>
          <w:sz w:val="16"/>
          <w:szCs w:val="16"/>
        </w:rPr>
      </w:pPr>
    </w:p>
    <w:p w:rsidR="004F6C48" w:rsidRPr="000E4125" w:rsidRDefault="004F6C48" w:rsidP="004F6C48">
      <w:pPr>
        <w:numPr>
          <w:ilvl w:val="1"/>
          <w:numId w:val="10"/>
        </w:numPr>
        <w:tabs>
          <w:tab w:val="clear" w:pos="1440"/>
          <w:tab w:val="num" w:pos="1080"/>
        </w:tabs>
        <w:ind w:left="1080"/>
        <w:rPr>
          <w:sz w:val="22"/>
          <w:szCs w:val="22"/>
        </w:rPr>
      </w:pPr>
      <w:r w:rsidRPr="000E4125">
        <w:rPr>
          <w:i/>
          <w:sz w:val="22"/>
          <w:szCs w:val="22"/>
        </w:rPr>
        <w:t>Choose someone else to control that part of the content</w:t>
      </w:r>
      <w:r w:rsidRPr="000E4125">
        <w:rPr>
          <w:sz w:val="22"/>
          <w:szCs w:val="22"/>
        </w:rPr>
        <w:t xml:space="preserve"> – if a proposed teacher/author has an irresolvable COI related to the content, choose someone else who does not have a such a relationship</w:t>
      </w:r>
    </w:p>
    <w:p w:rsidR="004F6C48" w:rsidRPr="000E4125" w:rsidRDefault="004F6C48" w:rsidP="004F6C48">
      <w:pPr>
        <w:rPr>
          <w:sz w:val="16"/>
          <w:szCs w:val="16"/>
        </w:rPr>
      </w:pPr>
    </w:p>
    <w:p w:rsidR="004F6C48" w:rsidRPr="000E4125" w:rsidRDefault="004F6C48" w:rsidP="004F6C48">
      <w:pPr>
        <w:numPr>
          <w:ilvl w:val="1"/>
          <w:numId w:val="10"/>
        </w:numPr>
        <w:tabs>
          <w:tab w:val="clear" w:pos="1440"/>
          <w:tab w:val="num" w:pos="1080"/>
        </w:tabs>
        <w:ind w:left="1080"/>
        <w:rPr>
          <w:sz w:val="22"/>
          <w:szCs w:val="22"/>
        </w:rPr>
      </w:pPr>
      <w:r w:rsidRPr="000E4125">
        <w:rPr>
          <w:i/>
          <w:sz w:val="22"/>
          <w:szCs w:val="22"/>
        </w:rPr>
        <w:t>Change the content of the person’s assignment</w:t>
      </w:r>
      <w:r w:rsidRPr="000E4125">
        <w:rPr>
          <w:sz w:val="22"/>
          <w:szCs w:val="22"/>
        </w:rPr>
        <w:t xml:space="preserve"> – The role of the person with a COI can be changed within the CME activity so that he/she is no longer teaching about issues relevant to the product/services of the commercial interest. For example, an individual with a COI regarding products for treatment of a disease state could address the pathophysiology or diagnosis of the disease rather than the therapeutics.</w:t>
      </w:r>
    </w:p>
    <w:p w:rsidR="004F6C48" w:rsidRPr="000E4125" w:rsidRDefault="004F6C48" w:rsidP="004F6C48">
      <w:pPr>
        <w:rPr>
          <w:sz w:val="16"/>
          <w:szCs w:val="16"/>
        </w:rPr>
      </w:pPr>
    </w:p>
    <w:p w:rsidR="004F6C48" w:rsidRPr="000E4125" w:rsidRDefault="004F6C48" w:rsidP="004F6C48">
      <w:pPr>
        <w:numPr>
          <w:ilvl w:val="1"/>
          <w:numId w:val="10"/>
        </w:numPr>
        <w:tabs>
          <w:tab w:val="clear" w:pos="1440"/>
          <w:tab w:val="num" w:pos="1080"/>
        </w:tabs>
        <w:ind w:left="1080"/>
        <w:rPr>
          <w:sz w:val="22"/>
          <w:szCs w:val="22"/>
        </w:rPr>
      </w:pPr>
      <w:r w:rsidRPr="000E4125">
        <w:rPr>
          <w:i/>
          <w:sz w:val="22"/>
          <w:szCs w:val="22"/>
        </w:rPr>
        <w:t>Limit the content to a report without recommendations</w:t>
      </w:r>
      <w:r w:rsidRPr="000E4125">
        <w:rPr>
          <w:sz w:val="22"/>
          <w:szCs w:val="22"/>
        </w:rPr>
        <w:t xml:space="preserve"> – if an individual has been funded by a commercial company to perform research, the individual’s presentation may be limited to the data and results of the research.  Someone else can be assigned to address broader implications and recommendations.</w:t>
      </w:r>
    </w:p>
    <w:p w:rsidR="004F6C48" w:rsidRPr="000E4125" w:rsidRDefault="004F6C48" w:rsidP="004F6C48">
      <w:pPr>
        <w:rPr>
          <w:sz w:val="16"/>
          <w:szCs w:val="16"/>
        </w:rPr>
      </w:pPr>
    </w:p>
    <w:p w:rsidR="004F6C48" w:rsidRPr="000E4125" w:rsidRDefault="004F6C48" w:rsidP="004F6C48">
      <w:pPr>
        <w:numPr>
          <w:ilvl w:val="1"/>
          <w:numId w:val="10"/>
        </w:numPr>
        <w:tabs>
          <w:tab w:val="clear" w:pos="1440"/>
          <w:tab w:val="num" w:pos="1080"/>
        </w:tabs>
        <w:ind w:left="1080"/>
        <w:rPr>
          <w:sz w:val="22"/>
          <w:szCs w:val="22"/>
        </w:rPr>
      </w:pPr>
      <w:r w:rsidRPr="000E4125">
        <w:rPr>
          <w:i/>
          <w:sz w:val="22"/>
          <w:szCs w:val="22"/>
        </w:rPr>
        <w:t>Limit the sources for recommendations</w:t>
      </w:r>
      <w:r w:rsidRPr="000E4125">
        <w:rPr>
          <w:sz w:val="22"/>
          <w:szCs w:val="22"/>
        </w:rPr>
        <w:t xml:space="preserve"> – Rather than having a person with a COI present personal recommendations or personally select the evidence to be presented, limit the role of that individual to reporting recommendations based on formal structured reviews of the literature with the inclusion and exclusion criteria stated (evidence based).  For example, the individual could present summaries from the systematic reviews of a peer reviewed source, e.g. the Cochrane Collaboration (</w:t>
      </w:r>
      <w:hyperlink r:id="rId8" w:history="1">
        <w:r w:rsidRPr="000E4125">
          <w:rPr>
            <w:rStyle w:val="Hyperlink"/>
            <w:sz w:val="22"/>
            <w:szCs w:val="22"/>
          </w:rPr>
          <w:t>www.cochrane.org</w:t>
        </w:r>
      </w:hyperlink>
      <w:r w:rsidRPr="000E4125">
        <w:rPr>
          <w:sz w:val="22"/>
          <w:szCs w:val="22"/>
        </w:rPr>
        <w:t>).</w:t>
      </w:r>
    </w:p>
    <w:p w:rsidR="004F6C48" w:rsidRPr="000E4125" w:rsidRDefault="004F6C48" w:rsidP="004F6C48">
      <w:pPr>
        <w:rPr>
          <w:sz w:val="22"/>
          <w:szCs w:val="22"/>
        </w:rPr>
      </w:pPr>
    </w:p>
    <w:p w:rsidR="004F6C48" w:rsidRPr="000E4125" w:rsidRDefault="004F6C48" w:rsidP="004F6C48">
      <w:pPr>
        <w:numPr>
          <w:ilvl w:val="0"/>
          <w:numId w:val="10"/>
        </w:numPr>
        <w:tabs>
          <w:tab w:val="clear" w:pos="1080"/>
          <w:tab w:val="num" w:pos="720"/>
        </w:tabs>
        <w:ind w:left="720"/>
        <w:rPr>
          <w:i/>
          <w:sz w:val="22"/>
          <w:szCs w:val="22"/>
        </w:rPr>
      </w:pPr>
      <w:r w:rsidRPr="000E4125">
        <w:rPr>
          <w:i/>
          <w:sz w:val="22"/>
          <w:szCs w:val="22"/>
        </w:rPr>
        <w:t>Elimination:</w:t>
      </w:r>
    </w:p>
    <w:p w:rsidR="004F6C48" w:rsidRPr="000E4125" w:rsidRDefault="004F6C48" w:rsidP="004F6C48">
      <w:pPr>
        <w:ind w:left="720"/>
        <w:rPr>
          <w:sz w:val="22"/>
          <w:szCs w:val="22"/>
        </w:rPr>
      </w:pPr>
      <w:r w:rsidRPr="000E4125">
        <w:rPr>
          <w:sz w:val="22"/>
          <w:szCs w:val="22"/>
        </w:rPr>
        <w:t xml:space="preserve">Activity Directors, activity planning committee members, and/or teachers/authors who are perceived as either manifesting irresolvable COI or being biased may be eliminated from consideration as resources for the CME activity. </w:t>
      </w:r>
    </w:p>
    <w:p w:rsidR="004F6C48" w:rsidRDefault="004F6C48" w:rsidP="000432CD">
      <w:pPr>
        <w:pStyle w:val="BodyText"/>
        <w:spacing w:after="40"/>
        <w:ind w:left="360" w:firstLine="360"/>
      </w:pPr>
    </w:p>
    <w:sectPr w:rsidR="004F6C48" w:rsidSect="005E6A88">
      <w:headerReference w:type="default" r:id="rId9"/>
      <w:pgSz w:w="12240" w:h="15840" w:code="1"/>
      <w:pgMar w:top="288" w:right="432" w:bottom="90" w:left="432" w:header="288" w:footer="288" w:gutter="0"/>
      <w:cols w:space="19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41E" w:rsidRDefault="00B0641E">
      <w:r>
        <w:separator/>
      </w:r>
    </w:p>
  </w:endnote>
  <w:endnote w:type="continuationSeparator" w:id="0">
    <w:p w:rsidR="00B0641E" w:rsidRDefault="00B064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41E" w:rsidRDefault="00B0641E">
      <w:r>
        <w:separator/>
      </w:r>
    </w:p>
  </w:footnote>
  <w:footnote w:type="continuationSeparator" w:id="0">
    <w:p w:rsidR="00B0641E" w:rsidRDefault="00B06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EFB" w:rsidRPr="00EE3AD7" w:rsidRDefault="003C3115" w:rsidP="002B3A80">
    <w:pPr>
      <w:spacing w:before="120"/>
      <w:rPr>
        <w:b/>
        <w:sz w:val="12"/>
        <w:szCs w:val="12"/>
      </w:rPr>
    </w:pPr>
    <w:r>
      <w:rPr>
        <w:b/>
        <w:sz w:val="12"/>
        <w:szCs w:val="12"/>
      </w:rPr>
      <w:t>0</w:t>
    </w:r>
    <w:r w:rsidR="008F0EFB" w:rsidRPr="00EE3AD7">
      <w:rPr>
        <w:b/>
        <w:sz w:val="12"/>
        <w:szCs w:val="12"/>
      </w:rPr>
      <w:t>University of Rochester ~ School of Medicine &amp; Dentistry</w:t>
    </w:r>
    <w:r w:rsidR="008F0EFB">
      <w:rPr>
        <w:b/>
        <w:sz w:val="12"/>
        <w:szCs w:val="12"/>
      </w:rPr>
      <w:tab/>
    </w:r>
    <w:r w:rsidR="008F0EFB">
      <w:rPr>
        <w:b/>
        <w:sz w:val="12"/>
        <w:szCs w:val="12"/>
      </w:rPr>
      <w:tab/>
    </w:r>
    <w:r w:rsidR="008F0EFB">
      <w:rPr>
        <w:b/>
        <w:sz w:val="12"/>
        <w:szCs w:val="12"/>
      </w:rPr>
      <w:tab/>
    </w:r>
    <w:r w:rsidR="008F0EFB">
      <w:rPr>
        <w:b/>
        <w:sz w:val="12"/>
        <w:szCs w:val="12"/>
      </w:rPr>
      <w:tab/>
    </w:r>
    <w:r w:rsidR="008F0EFB">
      <w:rPr>
        <w:b/>
        <w:sz w:val="12"/>
        <w:szCs w:val="12"/>
      </w:rPr>
      <w:tab/>
    </w:r>
    <w:r w:rsidR="008F0EFB">
      <w:rPr>
        <w:b/>
        <w:sz w:val="12"/>
        <w:szCs w:val="12"/>
      </w:rPr>
      <w:tab/>
    </w:r>
    <w:r w:rsidR="008F0EFB">
      <w:rPr>
        <w:b/>
        <w:sz w:val="12"/>
        <w:szCs w:val="12"/>
      </w:rPr>
      <w:tab/>
    </w:r>
    <w:r w:rsidR="008F0EFB">
      <w:rPr>
        <w:b/>
        <w:sz w:val="12"/>
        <w:szCs w:val="12"/>
      </w:rPr>
      <w:tab/>
    </w:r>
    <w:r w:rsidR="008F0EFB">
      <w:rPr>
        <w:b/>
        <w:sz w:val="12"/>
        <w:szCs w:val="12"/>
      </w:rPr>
      <w:tab/>
      <w:t xml:space="preserve">    </w:t>
    </w:r>
    <w:r w:rsidR="00060365">
      <w:rPr>
        <w:b/>
        <w:sz w:val="12"/>
        <w:szCs w:val="12"/>
      </w:rPr>
      <w:t xml:space="preserve">                         v. 1</w:t>
    </w:r>
    <w:r>
      <w:rPr>
        <w:b/>
        <w:sz w:val="12"/>
        <w:szCs w:val="12"/>
      </w:rPr>
      <w:t>0</w:t>
    </w:r>
    <w:r w:rsidR="008F0EFB">
      <w:rPr>
        <w:b/>
        <w:sz w:val="12"/>
        <w:szCs w:val="12"/>
      </w:rPr>
      <w:t>/2012</w:t>
    </w:r>
  </w:p>
  <w:p w:rsidR="008F0EFB" w:rsidRPr="00EE3AD7" w:rsidRDefault="008F0EFB" w:rsidP="002B3A80">
    <w:pPr>
      <w:rPr>
        <w:b/>
        <w:sz w:val="12"/>
        <w:szCs w:val="12"/>
      </w:rPr>
    </w:pPr>
    <w:r w:rsidRPr="00EE3AD7">
      <w:rPr>
        <w:b/>
        <w:sz w:val="12"/>
        <w:szCs w:val="12"/>
      </w:rPr>
      <w:t>Continuing Medical Education Activity</w:t>
    </w:r>
  </w:p>
  <w:p w:rsidR="008F0EFB" w:rsidRDefault="008F0E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F61A30"/>
    <w:multiLevelType w:val="hybridMultilevel"/>
    <w:tmpl w:val="92F8B7F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A7D07D7"/>
    <w:multiLevelType w:val="hybridMultilevel"/>
    <w:tmpl w:val="E692F532"/>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144E3A2E"/>
    <w:multiLevelType w:val="hybridMultilevel"/>
    <w:tmpl w:val="9F46CDE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1ABE2358"/>
    <w:multiLevelType w:val="hybridMultilevel"/>
    <w:tmpl w:val="960CD0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F5CB9"/>
    <w:multiLevelType w:val="hybridMultilevel"/>
    <w:tmpl w:val="EF1CB8F0"/>
    <w:lvl w:ilvl="0" w:tplc="3CC000E2">
      <w:start w:val="1"/>
      <w:numFmt w:val="upperRoman"/>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EC62A7"/>
    <w:multiLevelType w:val="hybridMultilevel"/>
    <w:tmpl w:val="62D607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CE55B10"/>
    <w:multiLevelType w:val="hybridMultilevel"/>
    <w:tmpl w:val="EA3CA1C4"/>
    <w:lvl w:ilvl="0" w:tplc="612A15B4">
      <w:start w:val="2"/>
      <w:numFmt w:val="decimal"/>
      <w:lvlText w:val="%1."/>
      <w:lvlJc w:val="left"/>
      <w:pPr>
        <w:tabs>
          <w:tab w:val="num" w:pos="750"/>
        </w:tabs>
        <w:ind w:left="750" w:hanging="39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D2477C"/>
    <w:multiLevelType w:val="hybridMultilevel"/>
    <w:tmpl w:val="220EC4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5AE35F2"/>
    <w:multiLevelType w:val="hybridMultilevel"/>
    <w:tmpl w:val="65FA936E"/>
    <w:lvl w:ilvl="0" w:tplc="6748D076">
      <w:start w:val="1"/>
      <w:numFmt w:val="upp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7B1C53"/>
    <w:multiLevelType w:val="hybridMultilevel"/>
    <w:tmpl w:val="46582800"/>
    <w:lvl w:ilvl="0" w:tplc="3CC000E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9655E1"/>
    <w:multiLevelType w:val="hybridMultilevel"/>
    <w:tmpl w:val="D25EDC0C"/>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67FB6895"/>
    <w:multiLevelType w:val="hybridMultilevel"/>
    <w:tmpl w:val="E55EC756"/>
    <w:lvl w:ilvl="0" w:tplc="542C813E">
      <w:start w:val="1"/>
      <w:numFmt w:val="bullet"/>
      <w:lvlText w:val="o"/>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B93313D"/>
    <w:multiLevelType w:val="hybridMultilevel"/>
    <w:tmpl w:val="6552801A"/>
    <w:lvl w:ilvl="0" w:tplc="542C813E">
      <w:start w:val="1"/>
      <w:numFmt w:val="bullet"/>
      <w:lvlText w:val="o"/>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7455315"/>
    <w:multiLevelType w:val="hybridMultilevel"/>
    <w:tmpl w:val="15023014"/>
    <w:lvl w:ilvl="0" w:tplc="437A24C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DB023CF"/>
    <w:multiLevelType w:val="hybridMultilevel"/>
    <w:tmpl w:val="04881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4">
    <w:abstractNumId w:val="1"/>
  </w:num>
  <w:num w:numId="5">
    <w:abstractNumId w:val="6"/>
  </w:num>
  <w:num w:numId="6">
    <w:abstractNumId w:val="14"/>
  </w:num>
  <w:num w:numId="7">
    <w:abstractNumId w:val="7"/>
  </w:num>
  <w:num w:numId="8">
    <w:abstractNumId w:val="4"/>
  </w:num>
  <w:num w:numId="9">
    <w:abstractNumId w:val="8"/>
  </w:num>
  <w:num w:numId="10">
    <w:abstractNumId w:val="9"/>
  </w:num>
  <w:num w:numId="11">
    <w:abstractNumId w:val="5"/>
  </w:num>
  <w:num w:numId="12">
    <w:abstractNumId w:val="2"/>
  </w:num>
  <w:num w:numId="13">
    <w:abstractNumId w:val="11"/>
  </w:num>
  <w:num w:numId="14">
    <w:abstractNumId w:val="3"/>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2B3A80"/>
    <w:rsid w:val="000004F8"/>
    <w:rsid w:val="00007B4F"/>
    <w:rsid w:val="00013CAA"/>
    <w:rsid w:val="00017E21"/>
    <w:rsid w:val="00021BC4"/>
    <w:rsid w:val="00022129"/>
    <w:rsid w:val="000432CD"/>
    <w:rsid w:val="00055E1E"/>
    <w:rsid w:val="00060365"/>
    <w:rsid w:val="00061A09"/>
    <w:rsid w:val="000649F4"/>
    <w:rsid w:val="000678F9"/>
    <w:rsid w:val="00075551"/>
    <w:rsid w:val="00076F6E"/>
    <w:rsid w:val="000803A5"/>
    <w:rsid w:val="00085684"/>
    <w:rsid w:val="0009310A"/>
    <w:rsid w:val="000945C5"/>
    <w:rsid w:val="00097FEF"/>
    <w:rsid w:val="000A1238"/>
    <w:rsid w:val="000A72DD"/>
    <w:rsid w:val="000A77F4"/>
    <w:rsid w:val="000C002D"/>
    <w:rsid w:val="000C298D"/>
    <w:rsid w:val="000D12C6"/>
    <w:rsid w:val="000D441C"/>
    <w:rsid w:val="000F12EE"/>
    <w:rsid w:val="000F28CA"/>
    <w:rsid w:val="00105123"/>
    <w:rsid w:val="00107A17"/>
    <w:rsid w:val="00112045"/>
    <w:rsid w:val="0012349F"/>
    <w:rsid w:val="00137643"/>
    <w:rsid w:val="00142027"/>
    <w:rsid w:val="00150929"/>
    <w:rsid w:val="0015334A"/>
    <w:rsid w:val="00173F81"/>
    <w:rsid w:val="0017510E"/>
    <w:rsid w:val="001832F3"/>
    <w:rsid w:val="001848A9"/>
    <w:rsid w:val="00186634"/>
    <w:rsid w:val="001C17E7"/>
    <w:rsid w:val="001C430D"/>
    <w:rsid w:val="001C630F"/>
    <w:rsid w:val="001C74D6"/>
    <w:rsid w:val="001D36D4"/>
    <w:rsid w:val="001D5F66"/>
    <w:rsid w:val="001D65F5"/>
    <w:rsid w:val="001F7D79"/>
    <w:rsid w:val="002020DF"/>
    <w:rsid w:val="00212045"/>
    <w:rsid w:val="002345B8"/>
    <w:rsid w:val="002609D9"/>
    <w:rsid w:val="00263474"/>
    <w:rsid w:val="002840AE"/>
    <w:rsid w:val="00295163"/>
    <w:rsid w:val="002A0617"/>
    <w:rsid w:val="002B3A80"/>
    <w:rsid w:val="002C3045"/>
    <w:rsid w:val="002C4B87"/>
    <w:rsid w:val="002C5961"/>
    <w:rsid w:val="002D1977"/>
    <w:rsid w:val="002E208C"/>
    <w:rsid w:val="002E512F"/>
    <w:rsid w:val="002E533A"/>
    <w:rsid w:val="002F4509"/>
    <w:rsid w:val="002F633C"/>
    <w:rsid w:val="00310447"/>
    <w:rsid w:val="0034300E"/>
    <w:rsid w:val="0034491D"/>
    <w:rsid w:val="003765D9"/>
    <w:rsid w:val="003839B8"/>
    <w:rsid w:val="0039555C"/>
    <w:rsid w:val="00396FD5"/>
    <w:rsid w:val="003A13A5"/>
    <w:rsid w:val="003A32C4"/>
    <w:rsid w:val="003A76FE"/>
    <w:rsid w:val="003B0D20"/>
    <w:rsid w:val="003B5337"/>
    <w:rsid w:val="003C2D38"/>
    <w:rsid w:val="003C3115"/>
    <w:rsid w:val="003D4844"/>
    <w:rsid w:val="003E079C"/>
    <w:rsid w:val="003F0DF1"/>
    <w:rsid w:val="003F54E1"/>
    <w:rsid w:val="003F55B1"/>
    <w:rsid w:val="00400975"/>
    <w:rsid w:val="00412428"/>
    <w:rsid w:val="00426706"/>
    <w:rsid w:val="004505BE"/>
    <w:rsid w:val="0045515A"/>
    <w:rsid w:val="00465E48"/>
    <w:rsid w:val="00465F60"/>
    <w:rsid w:val="00466C21"/>
    <w:rsid w:val="004746AB"/>
    <w:rsid w:val="00491F4D"/>
    <w:rsid w:val="00496B24"/>
    <w:rsid w:val="004A5B9C"/>
    <w:rsid w:val="004C3604"/>
    <w:rsid w:val="004C4D04"/>
    <w:rsid w:val="004C579B"/>
    <w:rsid w:val="004C7B82"/>
    <w:rsid w:val="004D0CC6"/>
    <w:rsid w:val="004F6C48"/>
    <w:rsid w:val="005149A8"/>
    <w:rsid w:val="005173FC"/>
    <w:rsid w:val="00525606"/>
    <w:rsid w:val="00526614"/>
    <w:rsid w:val="00571926"/>
    <w:rsid w:val="00573E5B"/>
    <w:rsid w:val="00580FCD"/>
    <w:rsid w:val="005953E9"/>
    <w:rsid w:val="005C224F"/>
    <w:rsid w:val="005D6271"/>
    <w:rsid w:val="005E6661"/>
    <w:rsid w:val="005E6A88"/>
    <w:rsid w:val="005F01CD"/>
    <w:rsid w:val="006006A7"/>
    <w:rsid w:val="00603E29"/>
    <w:rsid w:val="00614B4B"/>
    <w:rsid w:val="00615EDD"/>
    <w:rsid w:val="00625A90"/>
    <w:rsid w:val="00634485"/>
    <w:rsid w:val="00637687"/>
    <w:rsid w:val="006460D0"/>
    <w:rsid w:val="00671A98"/>
    <w:rsid w:val="00672E78"/>
    <w:rsid w:val="00677225"/>
    <w:rsid w:val="00696C20"/>
    <w:rsid w:val="006A1A7A"/>
    <w:rsid w:val="006B6504"/>
    <w:rsid w:val="006D3F2D"/>
    <w:rsid w:val="006D7CE7"/>
    <w:rsid w:val="007012B5"/>
    <w:rsid w:val="0072080A"/>
    <w:rsid w:val="00722229"/>
    <w:rsid w:val="007233BF"/>
    <w:rsid w:val="00730726"/>
    <w:rsid w:val="00766A78"/>
    <w:rsid w:val="00770DAE"/>
    <w:rsid w:val="00774BD4"/>
    <w:rsid w:val="00780E48"/>
    <w:rsid w:val="00794704"/>
    <w:rsid w:val="00795713"/>
    <w:rsid w:val="007A08C4"/>
    <w:rsid w:val="007A2D31"/>
    <w:rsid w:val="007A35A2"/>
    <w:rsid w:val="007B7618"/>
    <w:rsid w:val="007C16F2"/>
    <w:rsid w:val="007C324A"/>
    <w:rsid w:val="007C3679"/>
    <w:rsid w:val="007D3B24"/>
    <w:rsid w:val="007E238F"/>
    <w:rsid w:val="007F2CE8"/>
    <w:rsid w:val="00800123"/>
    <w:rsid w:val="00810C60"/>
    <w:rsid w:val="00820FFC"/>
    <w:rsid w:val="008570B6"/>
    <w:rsid w:val="00867287"/>
    <w:rsid w:val="00870A6C"/>
    <w:rsid w:val="008A1834"/>
    <w:rsid w:val="008B439D"/>
    <w:rsid w:val="008B5BBA"/>
    <w:rsid w:val="008B5C46"/>
    <w:rsid w:val="008B644C"/>
    <w:rsid w:val="008C2573"/>
    <w:rsid w:val="008C4EF5"/>
    <w:rsid w:val="008E0B03"/>
    <w:rsid w:val="008F0EFB"/>
    <w:rsid w:val="009229C8"/>
    <w:rsid w:val="0095618A"/>
    <w:rsid w:val="009A07B6"/>
    <w:rsid w:val="009A13D0"/>
    <w:rsid w:val="009A4BFF"/>
    <w:rsid w:val="009D5784"/>
    <w:rsid w:val="009D76B4"/>
    <w:rsid w:val="009F62E6"/>
    <w:rsid w:val="00A01654"/>
    <w:rsid w:val="00A07DB0"/>
    <w:rsid w:val="00A12356"/>
    <w:rsid w:val="00A12A56"/>
    <w:rsid w:val="00A17578"/>
    <w:rsid w:val="00A20EB8"/>
    <w:rsid w:val="00A218DE"/>
    <w:rsid w:val="00A23C61"/>
    <w:rsid w:val="00A24FDB"/>
    <w:rsid w:val="00A35AB0"/>
    <w:rsid w:val="00A42F96"/>
    <w:rsid w:val="00A46A71"/>
    <w:rsid w:val="00A53185"/>
    <w:rsid w:val="00A5774F"/>
    <w:rsid w:val="00A70D0E"/>
    <w:rsid w:val="00AA267D"/>
    <w:rsid w:val="00AB6B87"/>
    <w:rsid w:val="00AE563D"/>
    <w:rsid w:val="00B02121"/>
    <w:rsid w:val="00B06100"/>
    <w:rsid w:val="00B0641E"/>
    <w:rsid w:val="00B23ECE"/>
    <w:rsid w:val="00B278E2"/>
    <w:rsid w:val="00B62990"/>
    <w:rsid w:val="00BA0178"/>
    <w:rsid w:val="00BB34E8"/>
    <w:rsid w:val="00BC2D0C"/>
    <w:rsid w:val="00BC6546"/>
    <w:rsid w:val="00BC7803"/>
    <w:rsid w:val="00C0151F"/>
    <w:rsid w:val="00C05F0C"/>
    <w:rsid w:val="00C11BF0"/>
    <w:rsid w:val="00C725F4"/>
    <w:rsid w:val="00C82B7F"/>
    <w:rsid w:val="00C85A62"/>
    <w:rsid w:val="00CA49BF"/>
    <w:rsid w:val="00CB2880"/>
    <w:rsid w:val="00CB46F7"/>
    <w:rsid w:val="00CC739C"/>
    <w:rsid w:val="00CD0F3F"/>
    <w:rsid w:val="00D06F29"/>
    <w:rsid w:val="00D1117C"/>
    <w:rsid w:val="00D15491"/>
    <w:rsid w:val="00D214B3"/>
    <w:rsid w:val="00D2715D"/>
    <w:rsid w:val="00D37743"/>
    <w:rsid w:val="00D563AE"/>
    <w:rsid w:val="00D7236F"/>
    <w:rsid w:val="00D7774E"/>
    <w:rsid w:val="00D810A4"/>
    <w:rsid w:val="00D90726"/>
    <w:rsid w:val="00D9387C"/>
    <w:rsid w:val="00DA0CBD"/>
    <w:rsid w:val="00DB2DF3"/>
    <w:rsid w:val="00DC3FB8"/>
    <w:rsid w:val="00DD63C8"/>
    <w:rsid w:val="00DF305D"/>
    <w:rsid w:val="00E03445"/>
    <w:rsid w:val="00E123E9"/>
    <w:rsid w:val="00E1753D"/>
    <w:rsid w:val="00E20F7E"/>
    <w:rsid w:val="00E27C6B"/>
    <w:rsid w:val="00E44104"/>
    <w:rsid w:val="00E82009"/>
    <w:rsid w:val="00E87056"/>
    <w:rsid w:val="00E965CA"/>
    <w:rsid w:val="00EA67BE"/>
    <w:rsid w:val="00EA6932"/>
    <w:rsid w:val="00EB2B90"/>
    <w:rsid w:val="00EB5F6A"/>
    <w:rsid w:val="00EC27F5"/>
    <w:rsid w:val="00ED4D56"/>
    <w:rsid w:val="00EF2165"/>
    <w:rsid w:val="00F05198"/>
    <w:rsid w:val="00F17715"/>
    <w:rsid w:val="00F223A7"/>
    <w:rsid w:val="00F23F88"/>
    <w:rsid w:val="00F2746D"/>
    <w:rsid w:val="00F43153"/>
    <w:rsid w:val="00F52AF6"/>
    <w:rsid w:val="00F54D6E"/>
    <w:rsid w:val="00F56ABF"/>
    <w:rsid w:val="00F86F1D"/>
    <w:rsid w:val="00FA5599"/>
    <w:rsid w:val="00FB3114"/>
    <w:rsid w:val="00FD2697"/>
    <w:rsid w:val="00FE18A5"/>
    <w:rsid w:val="00FF2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A80"/>
    <w:rPr>
      <w:sz w:val="24"/>
      <w:szCs w:val="24"/>
    </w:rPr>
  </w:style>
  <w:style w:type="paragraph" w:styleId="Heading1">
    <w:name w:val="heading 1"/>
    <w:basedOn w:val="Normal"/>
    <w:next w:val="Normal"/>
    <w:qFormat/>
    <w:rsid w:val="002B3A80"/>
    <w:pPr>
      <w:keepNext/>
      <w:outlineLvl w:val="0"/>
    </w:pPr>
    <w:rPr>
      <w:b/>
      <w:sz w:val="22"/>
      <w:szCs w:val="20"/>
    </w:rPr>
  </w:style>
  <w:style w:type="paragraph" w:styleId="Heading2">
    <w:name w:val="heading 2"/>
    <w:basedOn w:val="Normal"/>
    <w:next w:val="Normal"/>
    <w:qFormat/>
    <w:rsid w:val="002B3A80"/>
    <w:pPr>
      <w:keepNext/>
      <w:jc w:val="center"/>
      <w:outlineLvl w:val="1"/>
    </w:pPr>
    <w:rPr>
      <w:b/>
      <w:sz w:val="22"/>
      <w:szCs w:val="20"/>
      <w:u w:val="single"/>
    </w:rPr>
  </w:style>
  <w:style w:type="paragraph" w:styleId="Heading4">
    <w:name w:val="heading 4"/>
    <w:basedOn w:val="Normal"/>
    <w:next w:val="Normal"/>
    <w:qFormat/>
    <w:rsid w:val="002B3A8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3A80"/>
    <w:rPr>
      <w:color w:val="0000FF"/>
      <w:u w:val="single"/>
    </w:rPr>
  </w:style>
  <w:style w:type="paragraph" w:styleId="Header">
    <w:name w:val="header"/>
    <w:basedOn w:val="Normal"/>
    <w:rsid w:val="002B3A80"/>
    <w:pPr>
      <w:tabs>
        <w:tab w:val="center" w:pos="4320"/>
        <w:tab w:val="right" w:pos="8640"/>
      </w:tabs>
    </w:pPr>
    <w:rPr>
      <w:sz w:val="22"/>
      <w:szCs w:val="20"/>
    </w:rPr>
  </w:style>
  <w:style w:type="paragraph" w:styleId="BodyText">
    <w:name w:val="Body Text"/>
    <w:basedOn w:val="Normal"/>
    <w:link w:val="BodyTextChar"/>
    <w:rsid w:val="002B3A80"/>
    <w:pPr>
      <w:jc w:val="both"/>
    </w:pPr>
    <w:rPr>
      <w:sz w:val="22"/>
      <w:szCs w:val="20"/>
    </w:rPr>
  </w:style>
  <w:style w:type="paragraph" w:styleId="Footer">
    <w:name w:val="footer"/>
    <w:basedOn w:val="Normal"/>
    <w:rsid w:val="002B3A80"/>
    <w:pPr>
      <w:tabs>
        <w:tab w:val="center" w:pos="4320"/>
        <w:tab w:val="right" w:pos="8640"/>
      </w:tabs>
    </w:pPr>
  </w:style>
  <w:style w:type="table" w:styleId="TableGrid">
    <w:name w:val="Table Grid"/>
    <w:basedOn w:val="TableNormal"/>
    <w:rsid w:val="002B3A8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48A9"/>
    <w:pPr>
      <w:ind w:left="720"/>
    </w:pPr>
    <w:rPr>
      <w:rFonts w:ascii="Georgia" w:eastAsia="Calibri" w:hAnsi="Georgia"/>
      <w:sz w:val="20"/>
      <w:szCs w:val="20"/>
    </w:rPr>
  </w:style>
  <w:style w:type="character" w:customStyle="1" w:styleId="BodyTextChar">
    <w:name w:val="Body Text Char"/>
    <w:basedOn w:val="DefaultParagraphFont"/>
    <w:link w:val="BodyText"/>
    <w:rsid w:val="000803A5"/>
    <w:rPr>
      <w:sz w:val="22"/>
    </w:rPr>
  </w:style>
</w:styles>
</file>

<file path=word/webSettings.xml><?xml version="1.0" encoding="utf-8"?>
<w:webSettings xmlns:r="http://schemas.openxmlformats.org/officeDocument/2006/relationships" xmlns:w="http://schemas.openxmlformats.org/wordprocessingml/2006/main">
  <w:divs>
    <w:div w:id="414980405">
      <w:bodyDiv w:val="1"/>
      <w:marLeft w:val="0"/>
      <w:marRight w:val="0"/>
      <w:marTop w:val="0"/>
      <w:marBottom w:val="0"/>
      <w:divBdr>
        <w:top w:val="none" w:sz="0" w:space="0" w:color="auto"/>
        <w:left w:val="none" w:sz="0" w:space="0" w:color="auto"/>
        <w:bottom w:val="none" w:sz="0" w:space="0" w:color="auto"/>
        <w:right w:val="none" w:sz="0" w:space="0" w:color="auto"/>
      </w:divBdr>
    </w:div>
    <w:div w:id="714277710">
      <w:bodyDiv w:val="1"/>
      <w:marLeft w:val="0"/>
      <w:marRight w:val="0"/>
      <w:marTop w:val="0"/>
      <w:marBottom w:val="0"/>
      <w:divBdr>
        <w:top w:val="none" w:sz="0" w:space="0" w:color="auto"/>
        <w:left w:val="none" w:sz="0" w:space="0" w:color="auto"/>
        <w:bottom w:val="none" w:sz="0" w:space="0" w:color="auto"/>
        <w:right w:val="none" w:sz="0" w:space="0" w:color="auto"/>
      </w:divBdr>
    </w:div>
    <w:div w:id="751514398">
      <w:bodyDiv w:val="1"/>
      <w:marLeft w:val="0"/>
      <w:marRight w:val="0"/>
      <w:marTop w:val="0"/>
      <w:marBottom w:val="0"/>
      <w:divBdr>
        <w:top w:val="none" w:sz="0" w:space="0" w:color="auto"/>
        <w:left w:val="none" w:sz="0" w:space="0" w:color="auto"/>
        <w:bottom w:val="none" w:sz="0" w:space="0" w:color="auto"/>
        <w:right w:val="none" w:sz="0" w:space="0" w:color="auto"/>
      </w:divBdr>
    </w:div>
    <w:div w:id="97205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chran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72A06-FFBD-434F-82D5-7BF278EA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1821</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University of Rochester School of Medicine &amp; Dentistry</vt:lpstr>
    </vt:vector>
  </TitlesOfParts>
  <Company>University of Rochester</Company>
  <LinksUpToDate>false</LinksUpToDate>
  <CharactersWithSpaces>12341</CharactersWithSpaces>
  <SharedDoc>false</SharedDoc>
  <HLinks>
    <vt:vector size="6" baseType="variant">
      <vt:variant>
        <vt:i4>4456539</vt:i4>
      </vt:variant>
      <vt:variant>
        <vt:i4>0</vt:i4>
      </vt:variant>
      <vt:variant>
        <vt:i4>0</vt:i4>
      </vt:variant>
      <vt:variant>
        <vt:i4>5</vt:i4>
      </vt:variant>
      <vt:variant>
        <vt:lpwstr>http://www.cochrane.org/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Rochester School of Medicine &amp; Dentistry</dc:title>
  <dc:subject/>
  <dc:creator>Marla E Wall</dc:creator>
  <cp:keywords/>
  <dc:description/>
  <cp:lastModifiedBy>Nisha Johar</cp:lastModifiedBy>
  <cp:revision>3</cp:revision>
  <cp:lastPrinted>2011-12-29T18:38:00Z</cp:lastPrinted>
  <dcterms:created xsi:type="dcterms:W3CDTF">2012-02-20T15:04:00Z</dcterms:created>
  <dcterms:modified xsi:type="dcterms:W3CDTF">2012-10-12T20:38:00Z</dcterms:modified>
</cp:coreProperties>
</file>