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FA26" w14:textId="77777777" w:rsidR="00DC1220" w:rsidRDefault="00DC1220" w:rsidP="00DC1220">
      <w:pPr>
        <w:pStyle w:val="Title"/>
      </w:pPr>
      <w:r>
        <w:t>2024-2025 RESP-Net Season Recap</w:t>
      </w:r>
    </w:p>
    <w:p w14:paraId="76CCB915" w14:textId="5085A9C0" w:rsidR="00DC1220" w:rsidRDefault="00DC1220" w:rsidP="00DC1220">
      <w:pPr>
        <w:pStyle w:val="Title"/>
      </w:pPr>
      <w:r w:rsidRPr="00DC1220">
        <w:rPr>
          <w:rStyle w:val="SubtitleChar"/>
        </w:rPr>
        <w:t>RESP-Net Data Impacts the Public Health Landscape</w:t>
      </w:r>
    </w:p>
    <w:p w14:paraId="497F7563" w14:textId="7FFF6B0B" w:rsidR="00DC1220" w:rsidRDefault="00DC1220" w:rsidP="00DC1220">
      <w:pPr>
        <w:pStyle w:val="Heading1"/>
      </w:pPr>
      <w:r>
        <w:t>What we do</w:t>
      </w:r>
    </w:p>
    <w:p w14:paraId="43B8B5A5" w14:textId="7F9D4C51" w:rsidR="00DC1220" w:rsidRDefault="00DC1220">
      <w:r w:rsidRPr="00DC1220">
        <w:t>As part of CDC’s Respiratory Virus Hospitalization Surveillance Network (RESP-NET), the Rochester Emerging Infections Program (EIP) performs population- and lab-based surveillance for hospitalizations associated with lab-confirmed flu, RSV or COVID-19 in a 7-county region (Genesee, Livingston, Monroe, Ontario, Orleans, Wayne, and Yates counties).</w:t>
      </w:r>
    </w:p>
    <w:p w14:paraId="5537655F" w14:textId="0FDF14BA" w:rsidR="00DC1220" w:rsidRDefault="00DC1220" w:rsidP="00DC1220">
      <w:pPr>
        <w:pStyle w:val="Heading1"/>
      </w:pPr>
      <w:r>
        <w:t>Cases are included when all these criteria are met</w:t>
      </w:r>
    </w:p>
    <w:p w14:paraId="1A8F3C13" w14:textId="77777777" w:rsidR="00DC1220" w:rsidRPr="00DC1220" w:rsidRDefault="00DC1220" w:rsidP="00DC1220">
      <w:pPr>
        <w:numPr>
          <w:ilvl w:val="0"/>
          <w:numId w:val="2"/>
        </w:numPr>
      </w:pPr>
      <w:r w:rsidRPr="00DC1220">
        <w:t>Lab-confirmed positive test any time during hospitalization or within 14 days prior to admission</w:t>
      </w:r>
    </w:p>
    <w:p w14:paraId="040058D5" w14:textId="77777777" w:rsidR="00DC1220" w:rsidRPr="00DC1220" w:rsidRDefault="00DC1220" w:rsidP="00DC1220">
      <w:pPr>
        <w:numPr>
          <w:ilvl w:val="0"/>
          <w:numId w:val="2"/>
        </w:numPr>
      </w:pPr>
      <w:r w:rsidRPr="00DC1220">
        <w:t>Resident of the 7-county region</w:t>
      </w:r>
    </w:p>
    <w:p w14:paraId="1C5C9223" w14:textId="77777777" w:rsidR="00DC1220" w:rsidRPr="00DC1220" w:rsidRDefault="00DC1220" w:rsidP="00DC1220">
      <w:pPr>
        <w:numPr>
          <w:ilvl w:val="0"/>
          <w:numId w:val="2"/>
        </w:numPr>
      </w:pPr>
      <w:r w:rsidRPr="00DC1220">
        <w:t>Hospitalized for acute care including inpatient admission or observation stay &gt;24 hours</w:t>
      </w:r>
    </w:p>
    <w:p w14:paraId="21EB1B94" w14:textId="77777777" w:rsidR="00DC1220" w:rsidRDefault="00DC1220"/>
    <w:p w14:paraId="7C7B9385" w14:textId="201D5FA6" w:rsidR="00DC1220" w:rsidRDefault="00DC1220" w:rsidP="00DC1220">
      <w:pPr>
        <w:pStyle w:val="Heading1"/>
      </w:pPr>
      <w:r>
        <w:t>Local Hospitals Impacting National Surveillance</w:t>
      </w:r>
    </w:p>
    <w:p w14:paraId="754F3C4D" w14:textId="78CEAA9D" w:rsidR="00DC1220" w:rsidRDefault="00DC1220">
      <w:r w:rsidRPr="00DC1220">
        <w:rPr>
          <w:noProof/>
        </w:rPr>
        <w:drawing>
          <wp:inline distT="0" distB="0" distL="0" distR="0" wp14:anchorId="2B743A41" wp14:editId="24A58664">
            <wp:extent cx="3057952" cy="2343477"/>
            <wp:effectExtent l="0" t="0" r="9525" b="0"/>
            <wp:docPr id="1466555981" name="Picture 1" descr="Map of Rochester EIP catchment area including Genesee, Livingston, Monroe, Ontario, Orleans, Wayne, an d Yates counties. Each participating hospital is indicated with a star. There are 4 stars in Monroe county, 3 stars in Ontario county, and 1 star in Genesee, Livingston, Orleans, Wayne, and Yates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55981" name="Picture 1" descr="Map of Rochester EIP catchment area including Genesee, Livingston, Monroe, Ontario, Orleans, Wayne, an d Yates counties. Each participating hospital is indicated with a star. There are 4 stars in Monroe county, 3 stars in Ontario county, and 1 star in Genesee, Livingston, Orleans, Wayne, and Yates counties."/>
                    <pic:cNvPicPr/>
                  </pic:nvPicPr>
                  <pic:blipFill>
                    <a:blip r:embed="rId5"/>
                    <a:stretch>
                      <a:fillRect/>
                    </a:stretch>
                  </pic:blipFill>
                  <pic:spPr>
                    <a:xfrm>
                      <a:off x="0" y="0"/>
                      <a:ext cx="3057952" cy="2343477"/>
                    </a:xfrm>
                    <a:prstGeom prst="rect">
                      <a:avLst/>
                    </a:prstGeom>
                  </pic:spPr>
                </pic:pic>
              </a:graphicData>
            </a:graphic>
          </wp:inline>
        </w:drawing>
      </w:r>
    </w:p>
    <w:p w14:paraId="000D90E9" w14:textId="77777777" w:rsidR="00DC1220" w:rsidRDefault="00DC1220"/>
    <w:p w14:paraId="2CA5980E" w14:textId="77777777" w:rsidR="00CA0520" w:rsidRDefault="00CA0520">
      <w:pPr>
        <w:rPr>
          <w:rFonts w:asciiTheme="majorHAnsi" w:eastAsiaTheme="majorEastAsia" w:hAnsiTheme="majorHAnsi" w:cstheme="majorBidi"/>
          <w:color w:val="0F4761" w:themeColor="accent1" w:themeShade="BF"/>
          <w:sz w:val="40"/>
          <w:szCs w:val="40"/>
        </w:rPr>
      </w:pPr>
      <w:r>
        <w:br w:type="page"/>
      </w:r>
    </w:p>
    <w:p w14:paraId="3681DBBF" w14:textId="50501E42" w:rsidR="00CA0520" w:rsidRDefault="00CA0520" w:rsidP="00CA0520">
      <w:pPr>
        <w:pStyle w:val="Heading1"/>
      </w:pPr>
      <w:r>
        <w:lastRenderedPageBreak/>
        <w:t>Publicly Available Dashboards and Data Analyses</w:t>
      </w:r>
    </w:p>
    <w:p w14:paraId="2DB9FBD6" w14:textId="469EAC98" w:rsidR="00CA0520" w:rsidRPr="00CA0520" w:rsidRDefault="00CA0520" w:rsidP="00CA0520">
      <w:r>
        <w:t>Many dashboards and publications using EIP’s respiratory data are used both locally and nationally. Click the hyperlinks below to access the dashboards and publications where available.</w:t>
      </w:r>
    </w:p>
    <w:p w14:paraId="0E9882AA" w14:textId="4932A21C" w:rsidR="00DC1220" w:rsidRDefault="00DC1220" w:rsidP="00CA0520">
      <w:pPr>
        <w:pStyle w:val="Heading2"/>
      </w:pPr>
      <w:r>
        <w:t>Real-Time Data Tracking</w:t>
      </w:r>
    </w:p>
    <w:p w14:paraId="5EB9DE28" w14:textId="09DD2D09" w:rsidR="00D11ECB" w:rsidRDefault="00D11ECB" w:rsidP="00D11ECB">
      <w:pPr>
        <w:pStyle w:val="ListParagraph"/>
        <w:numPr>
          <w:ilvl w:val="0"/>
          <w:numId w:val="3"/>
        </w:numPr>
      </w:pPr>
      <w:hyperlink r:id="rId6" w:tooltip="This link will redirect you to the web page for the RocHealth Data Respiratory Illness Surveillance Dashboard" w:history="1">
        <w:proofErr w:type="spellStart"/>
        <w:r w:rsidRPr="00D11ECB">
          <w:rPr>
            <w:rStyle w:val="Hyperlink"/>
          </w:rPr>
          <w:t>RocHealth</w:t>
        </w:r>
        <w:proofErr w:type="spellEnd"/>
        <w:r w:rsidRPr="00D11ECB">
          <w:rPr>
            <w:rStyle w:val="Hyperlink"/>
          </w:rPr>
          <w:t xml:space="preserve"> Data Respiratory Illness Surveillance Dashboard</w:t>
        </w:r>
      </w:hyperlink>
      <w:r>
        <w:t xml:space="preserve"> (now featuring all 7 counties!)</w:t>
      </w:r>
    </w:p>
    <w:p w14:paraId="420DCC91" w14:textId="19740BFC" w:rsidR="00D11ECB" w:rsidRDefault="00D11ECB" w:rsidP="00D11ECB">
      <w:pPr>
        <w:pStyle w:val="ListParagraph"/>
        <w:numPr>
          <w:ilvl w:val="0"/>
          <w:numId w:val="3"/>
        </w:numPr>
      </w:pPr>
      <w:hyperlink r:id="rId7" w:tooltip="This link will redirect you to the web page for the CDC RESP-Net Interactive Dashboard" w:history="1">
        <w:r w:rsidRPr="00D11ECB">
          <w:rPr>
            <w:rStyle w:val="Hyperlink"/>
          </w:rPr>
          <w:t>CDC RESP-Net Interactive Dashboard</w:t>
        </w:r>
      </w:hyperlink>
    </w:p>
    <w:p w14:paraId="06A8D536" w14:textId="244CB9C4" w:rsidR="00DC1220" w:rsidRDefault="00DC1220" w:rsidP="00CA0520">
      <w:pPr>
        <w:pStyle w:val="Heading2"/>
      </w:pPr>
      <w:r>
        <w:t>Local Data Analyses</w:t>
      </w:r>
    </w:p>
    <w:p w14:paraId="3906AB4F" w14:textId="4679C5C7" w:rsidR="00D11ECB" w:rsidRDefault="00D11ECB" w:rsidP="00D11ECB">
      <w:pPr>
        <w:pStyle w:val="ListParagraph"/>
        <w:numPr>
          <w:ilvl w:val="0"/>
          <w:numId w:val="4"/>
        </w:numPr>
      </w:pPr>
      <w:hyperlink r:id="rId8" w:tooltip="This link will redirect you to the web page for the publication Disproportionate Impact of Respiratory Syncytial Virus (RSV) Among Older Adults in Long-Term Care Settings" w:history="1">
        <w:r w:rsidRPr="00CA0520">
          <w:rPr>
            <w:rStyle w:val="Hyperlink"/>
          </w:rPr>
          <w:t>Disproportionate Impact of Respiratory Syncytial Virus (RSV) Among Older Adults in Long-Term Care Settings</w:t>
        </w:r>
      </w:hyperlink>
    </w:p>
    <w:p w14:paraId="3108DD28" w14:textId="0F1A2C00" w:rsidR="00D11ECB" w:rsidRDefault="00D11ECB" w:rsidP="00D11ECB">
      <w:pPr>
        <w:pStyle w:val="ListParagraph"/>
        <w:numPr>
          <w:ilvl w:val="0"/>
          <w:numId w:val="4"/>
        </w:numPr>
      </w:pPr>
      <w:proofErr w:type="spellStart"/>
      <w:r>
        <w:t>IDWeek</w:t>
      </w:r>
      <w:proofErr w:type="spellEnd"/>
      <w:r>
        <w:t xml:space="preserve"> 2025 Presentation: Why Aren’t We Treating? Reasons for Antiviral Non-Prescription in Hospitalized Children with Influenza</w:t>
      </w:r>
    </w:p>
    <w:p w14:paraId="677A0704" w14:textId="36E204EF" w:rsidR="00DC1220" w:rsidRDefault="00DC1220" w:rsidP="00CA0520">
      <w:pPr>
        <w:pStyle w:val="Heading2"/>
      </w:pPr>
      <w:r>
        <w:t>National Data Contributions</w:t>
      </w:r>
    </w:p>
    <w:p w14:paraId="5B1DCE22" w14:textId="58694D23" w:rsidR="00D11ECB" w:rsidRDefault="00D11ECB" w:rsidP="00D11ECB">
      <w:pPr>
        <w:pStyle w:val="ListParagraph"/>
        <w:numPr>
          <w:ilvl w:val="0"/>
          <w:numId w:val="5"/>
        </w:numPr>
      </w:pPr>
      <w:hyperlink r:id="rId9" w:tooltip="This link will redirect you to the web page for the publication Influenza-Associated Hospitalizations During a High Severity Season - Influenza Hospitalization Surveillance Network, United States, 2024-2025 Influenza Season" w:history="1">
        <w:r w:rsidRPr="00CA0520">
          <w:rPr>
            <w:rStyle w:val="Hyperlink"/>
          </w:rPr>
          <w:t>Influenza-Associated Hospitalizations During a High Severity Season – Influenza Hospitalization Surveillance Network, United States, 2024-2025 Influenza Season</w:t>
        </w:r>
      </w:hyperlink>
    </w:p>
    <w:p w14:paraId="6F8154F0" w14:textId="2F96B418" w:rsidR="00D11ECB" w:rsidRDefault="00D11ECB" w:rsidP="00D11ECB">
      <w:pPr>
        <w:pStyle w:val="ListParagraph"/>
        <w:numPr>
          <w:ilvl w:val="0"/>
          <w:numId w:val="5"/>
        </w:numPr>
      </w:pPr>
      <w:hyperlink r:id="rId10" w:tooltip="This link will redirect you to the web page for the publication Interim Evaluation of Respiratory Syncytial Virus Hospitalization Rates Among Infants and Young Children After Introduction of Respiratory Syncytial Virus Prevention Products" w:history="1">
        <w:r w:rsidRPr="00CA0520">
          <w:rPr>
            <w:rStyle w:val="Hyperlink"/>
          </w:rPr>
          <w:t>Interim Evaluation of Respiratory Syncytial Virus Hospitalization Rates Among Infants and Young Children After Introduction of Respiratory Syncytial Virus Prevention Products, United States, October 2024-February 2025</w:t>
        </w:r>
      </w:hyperlink>
    </w:p>
    <w:p w14:paraId="1ED92B09" w14:textId="56046003" w:rsidR="00D11ECB" w:rsidRDefault="00D11ECB" w:rsidP="00D11ECB">
      <w:pPr>
        <w:pStyle w:val="ListParagraph"/>
        <w:numPr>
          <w:ilvl w:val="0"/>
          <w:numId w:val="5"/>
        </w:numPr>
      </w:pPr>
      <w:hyperlink r:id="rId11" w:tooltip="This link will redirect you to the web page for the publication Hospitalization for COVID-19 and Risk Factors for Severe Disease Among Children: 2022-2024" w:history="1">
        <w:r w:rsidRPr="00CA0520">
          <w:rPr>
            <w:rStyle w:val="Hyperlink"/>
          </w:rPr>
          <w:t>Hospitalization for COVID-19 and Risk Factors for Severe Disease Among Children: 2022-2024</w:t>
        </w:r>
      </w:hyperlink>
    </w:p>
    <w:p w14:paraId="4FE2E4FE" w14:textId="607784E5" w:rsidR="00D11ECB" w:rsidRDefault="00D11ECB" w:rsidP="00D11ECB">
      <w:pPr>
        <w:pStyle w:val="ListParagraph"/>
        <w:numPr>
          <w:ilvl w:val="0"/>
          <w:numId w:val="5"/>
        </w:numPr>
      </w:pPr>
      <w:hyperlink r:id="rId12" w:tooltip="This link will redirect you to the web page for the publication Burden of Respiratory Syncytial Virus-Associated Hospitalizations in US Adults, October 2016 to September 2023" w:history="1">
        <w:r w:rsidRPr="00CA0520">
          <w:rPr>
            <w:rStyle w:val="Hyperlink"/>
          </w:rPr>
          <w:t>Burden of Respiratory Syncytial Virus-Associated Hospitalizations in US Adults, October 2016 to September 2023</w:t>
        </w:r>
      </w:hyperlink>
    </w:p>
    <w:p w14:paraId="5A938823" w14:textId="77777777" w:rsidR="00CA0520" w:rsidRDefault="00CA0520" w:rsidP="00CA0520"/>
    <w:p w14:paraId="73E3A93B" w14:textId="77777777" w:rsidR="00CA0520" w:rsidRDefault="00CA0520">
      <w:pPr>
        <w:rPr>
          <w:rFonts w:asciiTheme="majorHAnsi" w:eastAsiaTheme="majorEastAsia" w:hAnsiTheme="majorHAnsi" w:cstheme="majorBidi"/>
          <w:color w:val="0F4761" w:themeColor="accent1" w:themeShade="BF"/>
          <w:sz w:val="40"/>
          <w:szCs w:val="40"/>
        </w:rPr>
      </w:pPr>
      <w:r>
        <w:br w:type="page"/>
      </w:r>
    </w:p>
    <w:p w14:paraId="06B3B256" w14:textId="08DF26E4" w:rsidR="00CA0520" w:rsidRDefault="00CA0520" w:rsidP="00CA0520">
      <w:pPr>
        <w:pStyle w:val="Heading1"/>
      </w:pPr>
      <w:r>
        <w:lastRenderedPageBreak/>
        <w:t>Data Behind the 24-25 Season – Statistics and Insights</w:t>
      </w:r>
    </w:p>
    <w:p w14:paraId="5BF37EE4" w14:textId="4922F89A" w:rsidR="00701719" w:rsidRDefault="00701719" w:rsidP="00701719">
      <w:pPr>
        <w:pStyle w:val="Heading2"/>
        <w:tabs>
          <w:tab w:val="left" w:pos="1185"/>
        </w:tabs>
      </w:pPr>
      <w:r>
        <w:t>Season Total flu, COVID and RSV Hospitalizations</w:t>
      </w:r>
    </w:p>
    <w:tbl>
      <w:tblPr>
        <w:tblStyle w:val="TableGrid"/>
        <w:tblW w:w="0" w:type="auto"/>
        <w:tblLook w:val="04A0" w:firstRow="1" w:lastRow="0" w:firstColumn="1" w:lastColumn="0" w:noHBand="0" w:noVBand="1"/>
      </w:tblPr>
      <w:tblGrid>
        <w:gridCol w:w="2880"/>
        <w:gridCol w:w="2880"/>
      </w:tblGrid>
      <w:tr w:rsidR="00701719" w14:paraId="01BA60E8" w14:textId="77777777" w:rsidTr="00701719">
        <w:trPr>
          <w:tblHeader/>
        </w:trPr>
        <w:tc>
          <w:tcPr>
            <w:tcW w:w="2880" w:type="dxa"/>
          </w:tcPr>
          <w:p w14:paraId="253F5A17" w14:textId="0C915F63" w:rsidR="00701719" w:rsidRPr="00701719" w:rsidRDefault="00701719" w:rsidP="00701719">
            <w:pPr>
              <w:rPr>
                <w:b/>
                <w:bCs/>
              </w:rPr>
            </w:pPr>
            <w:r w:rsidRPr="00701719">
              <w:rPr>
                <w:b/>
                <w:bCs/>
              </w:rPr>
              <w:t>Pathogen</w:t>
            </w:r>
          </w:p>
        </w:tc>
        <w:tc>
          <w:tcPr>
            <w:tcW w:w="2880" w:type="dxa"/>
          </w:tcPr>
          <w:p w14:paraId="0A6FE53F" w14:textId="11E0D95A" w:rsidR="00701719" w:rsidRPr="00701719" w:rsidRDefault="00701719" w:rsidP="00701719">
            <w:pPr>
              <w:rPr>
                <w:b/>
                <w:bCs/>
              </w:rPr>
            </w:pPr>
            <w:r w:rsidRPr="00701719">
              <w:rPr>
                <w:b/>
                <w:bCs/>
              </w:rPr>
              <w:t>Hospitalization Count</w:t>
            </w:r>
          </w:p>
        </w:tc>
      </w:tr>
      <w:tr w:rsidR="00701719" w14:paraId="2510E4A6" w14:textId="77777777" w:rsidTr="00701719">
        <w:tc>
          <w:tcPr>
            <w:tcW w:w="2880" w:type="dxa"/>
          </w:tcPr>
          <w:p w14:paraId="66244E8A" w14:textId="07730B9F" w:rsidR="00701719" w:rsidRDefault="00701719" w:rsidP="00701719">
            <w:r>
              <w:t>Flu</w:t>
            </w:r>
          </w:p>
        </w:tc>
        <w:tc>
          <w:tcPr>
            <w:tcW w:w="2880" w:type="dxa"/>
          </w:tcPr>
          <w:p w14:paraId="19E5EF0F" w14:textId="1FB047F0" w:rsidR="00701719" w:rsidRDefault="00701719" w:rsidP="00701719">
            <w:r>
              <w:t>2,080</w:t>
            </w:r>
          </w:p>
        </w:tc>
      </w:tr>
      <w:tr w:rsidR="00701719" w14:paraId="30B1B45D" w14:textId="77777777" w:rsidTr="00701719">
        <w:tc>
          <w:tcPr>
            <w:tcW w:w="2880" w:type="dxa"/>
          </w:tcPr>
          <w:p w14:paraId="142071C0" w14:textId="0162EB66" w:rsidR="00701719" w:rsidRDefault="00701719" w:rsidP="00701719">
            <w:r>
              <w:t>COVID</w:t>
            </w:r>
          </w:p>
        </w:tc>
        <w:tc>
          <w:tcPr>
            <w:tcW w:w="2880" w:type="dxa"/>
          </w:tcPr>
          <w:p w14:paraId="3BB88421" w14:textId="0C3FC080" w:rsidR="00701719" w:rsidRDefault="00701719" w:rsidP="00701719">
            <w:r>
              <w:t>1,643</w:t>
            </w:r>
          </w:p>
        </w:tc>
      </w:tr>
      <w:tr w:rsidR="00701719" w14:paraId="3AA3ABB8" w14:textId="77777777" w:rsidTr="00701719">
        <w:tc>
          <w:tcPr>
            <w:tcW w:w="2880" w:type="dxa"/>
          </w:tcPr>
          <w:p w14:paraId="2C612D7A" w14:textId="45F9BB44" w:rsidR="00701719" w:rsidRDefault="00701719" w:rsidP="00701719">
            <w:r>
              <w:t>RSV</w:t>
            </w:r>
          </w:p>
        </w:tc>
        <w:tc>
          <w:tcPr>
            <w:tcW w:w="2880" w:type="dxa"/>
          </w:tcPr>
          <w:p w14:paraId="271A650F" w14:textId="7013F3AB" w:rsidR="00701719" w:rsidRDefault="00701719" w:rsidP="00701719">
            <w:r>
              <w:t>595</w:t>
            </w:r>
          </w:p>
        </w:tc>
      </w:tr>
    </w:tbl>
    <w:p w14:paraId="15065E42" w14:textId="77777777" w:rsidR="00701719" w:rsidRPr="00701719" w:rsidRDefault="00701719" w:rsidP="00701719"/>
    <w:p w14:paraId="54B776AC" w14:textId="0487772C" w:rsidR="00CA0520" w:rsidRDefault="00CA0520" w:rsidP="00463188">
      <w:pPr>
        <w:pStyle w:val="Heading2"/>
      </w:pPr>
      <w:r>
        <w:t>Counts of Monthly flu, COVID and RSV Hospitalizations</w:t>
      </w:r>
    </w:p>
    <w:p w14:paraId="64F05ED5" w14:textId="039FF7C5" w:rsidR="00463188" w:rsidRDefault="00701719" w:rsidP="00CA0520">
      <w:r>
        <w:rPr>
          <w:noProof/>
        </w:rPr>
        <w:drawing>
          <wp:inline distT="0" distB="0" distL="0" distR="0" wp14:anchorId="2AF0E3A2" wp14:editId="705C7EA1">
            <wp:extent cx="5943600" cy="2732405"/>
            <wp:effectExtent l="0" t="0" r="0" b="10795"/>
            <wp:docPr id="1023896392" name="Chart 1" descr="Line graph displaying monthly hospitalization counts for COVID-19, RSV, and flu from October 2024 to April 2025. It shows a large winter peak for flu in a solid blue line, a smaller late-fall peak for RSV in a long dashed purple line, and a flattened curve for COVID-19 in a short dashed red line">
              <a:extLst xmlns:a="http://schemas.openxmlformats.org/drawingml/2006/main">
                <a:ext uri="{FF2B5EF4-FFF2-40B4-BE49-F238E27FC236}">
                  <a16:creationId xmlns:a16="http://schemas.microsoft.com/office/drawing/2014/main" id="{52FDDE9B-AC93-A1CC-FD98-A7CD9FA60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2AFE68" w14:textId="108B8696" w:rsidR="00CA0520" w:rsidRDefault="00CA0520" w:rsidP="00463188">
      <w:pPr>
        <w:pStyle w:val="Heading2"/>
      </w:pPr>
      <w:r>
        <w:lastRenderedPageBreak/>
        <w:t>Counts of flu, COVID and RSV Positive Tests</w:t>
      </w:r>
    </w:p>
    <w:p w14:paraId="2979168E" w14:textId="3F07D5B2" w:rsidR="00463188" w:rsidRDefault="00701719" w:rsidP="00CA0520">
      <w:r>
        <w:rPr>
          <w:noProof/>
        </w:rPr>
        <w:drawing>
          <wp:inline distT="0" distB="0" distL="0" distR="0" wp14:anchorId="2A9DE51B" wp14:editId="2739C77F">
            <wp:extent cx="5419726" cy="3824288"/>
            <wp:effectExtent l="0" t="0" r="9525" b="5080"/>
            <wp:docPr id="1226410351" name="Chart 1" descr="Bar chart comparing positive test counts for COVID-19, RSV, and flu. Flu had the highest total count with 27,999 positive tests in blue, followed by COVID-19 with 12,145 positive tests in red and RSV with 6,391 positive tests in purple.">
              <a:extLst xmlns:a="http://schemas.openxmlformats.org/drawingml/2006/main">
                <a:ext uri="{FF2B5EF4-FFF2-40B4-BE49-F238E27FC236}">
                  <a16:creationId xmlns:a16="http://schemas.microsoft.com/office/drawing/2014/main" id="{EBE7CCA8-2C3F-D442-9A51-D522E5E6C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517B5B" w14:textId="748D035F" w:rsidR="00CA0520" w:rsidRDefault="00463188" w:rsidP="00463188">
      <w:pPr>
        <w:pStyle w:val="Heading2"/>
      </w:pPr>
      <w:r>
        <w:t>Percent of COVID, flu and RSV Cases Vaccinated</w:t>
      </w:r>
    </w:p>
    <w:p w14:paraId="70A55475" w14:textId="6AD4458F" w:rsidR="00463188" w:rsidRDefault="00701719" w:rsidP="00CA0520">
      <w:r>
        <w:rPr>
          <w:noProof/>
        </w:rPr>
        <w:drawing>
          <wp:inline distT="0" distB="0" distL="0" distR="0" wp14:anchorId="6C7D67FF" wp14:editId="7511D83E">
            <wp:extent cx="5943600" cy="3076575"/>
            <wp:effectExtent l="0" t="0" r="0" b="9525"/>
            <wp:docPr id="367482989" name="Chart 1" descr="Bar chart comparing percent of patients with an RSV admission and an RSV vaccine, percent of patients with a COVID admission and a COVID vaccine, and percent of patients with a flu admission and a flu vaccine. COVID had the highest percent vaccinated with 31% vaccinated in red, followed by flu with 29% vaccinated in blue and  RSV with 14% vacicnated in purple.">
              <a:extLst xmlns:a="http://schemas.openxmlformats.org/drawingml/2006/main">
                <a:ext uri="{FF2B5EF4-FFF2-40B4-BE49-F238E27FC236}">
                  <a16:creationId xmlns:a16="http://schemas.microsoft.com/office/drawing/2014/main" id="{955F04B9-80B6-3633-E618-1E823E1CC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4B8E9C" w14:textId="312B0772" w:rsidR="00463188" w:rsidRDefault="00463188" w:rsidP="00463188">
      <w:pPr>
        <w:pStyle w:val="Heading2"/>
      </w:pPr>
      <w:r>
        <w:lastRenderedPageBreak/>
        <w:t>Percent of COVID Cases Sequenced or flu Cases Subtyped</w:t>
      </w:r>
    </w:p>
    <w:p w14:paraId="1CF69629" w14:textId="7DB62A80" w:rsidR="00463188" w:rsidRDefault="0080463D" w:rsidP="00CA0520">
      <w:r>
        <w:rPr>
          <w:noProof/>
        </w:rPr>
        <w:drawing>
          <wp:inline distT="0" distB="0" distL="0" distR="0" wp14:anchorId="50897220" wp14:editId="01141CD2">
            <wp:extent cx="5943600" cy="2894965"/>
            <wp:effectExtent l="0" t="0" r="0" b="635"/>
            <wp:docPr id="935630642" name="Chart 1" descr="Bar chart showing 22% of COVID admissions has specimens sequenced in red and 39% of flu admissions had specimens subtyped in blue.">
              <a:extLst xmlns:a="http://schemas.openxmlformats.org/drawingml/2006/main">
                <a:ext uri="{FF2B5EF4-FFF2-40B4-BE49-F238E27FC236}">
                  <a16:creationId xmlns:a16="http://schemas.microsoft.com/office/drawing/2014/main" id="{A8934CA4-F8C1-B054-0F40-A38BAAEB9D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24FB26" w14:textId="5B47796C" w:rsidR="00463188" w:rsidRDefault="00463188" w:rsidP="00463188">
      <w:pPr>
        <w:pStyle w:val="Heading2"/>
      </w:pPr>
      <w:r>
        <w:t>Flu Subtyping Results</w:t>
      </w:r>
    </w:p>
    <w:p w14:paraId="2C89EF78" w14:textId="23D8F804" w:rsidR="00701719" w:rsidRPr="00701719" w:rsidRDefault="00701719" w:rsidP="00701719">
      <w:r>
        <w:rPr>
          <w:noProof/>
        </w:rPr>
        <w:drawing>
          <wp:inline distT="0" distB="0" distL="0" distR="0" wp14:anchorId="55AF7616" wp14:editId="684D9CDB">
            <wp:extent cx="5943600" cy="3369310"/>
            <wp:effectExtent l="0" t="0" r="0" b="2540"/>
            <wp:docPr id="1928470852" name="Chart 1" descr="Pie chart showing the 481 flu subtyping results were flu strain a(H1N1)pdm09 in light blue, 325 flu subtyping results were flu strain A(H3) in dark blue, and 6 flu subtyping results were flu strain B(Victoria Lineage) in brown.">
              <a:extLst xmlns:a="http://schemas.openxmlformats.org/drawingml/2006/main">
                <a:ext uri="{FF2B5EF4-FFF2-40B4-BE49-F238E27FC236}">
                  <a16:creationId xmlns:a16="http://schemas.microsoft.com/office/drawing/2014/main" id="{6D99A59B-EE48-671A-79F9-73E9325E8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72C11B" w14:textId="77777777" w:rsidR="007B388A" w:rsidRDefault="007B388A">
      <w:pPr>
        <w:rPr>
          <w:rFonts w:asciiTheme="majorHAnsi" w:eastAsiaTheme="majorEastAsia" w:hAnsiTheme="majorHAnsi" w:cstheme="majorBidi"/>
          <w:color w:val="0F4761" w:themeColor="accent1" w:themeShade="BF"/>
          <w:sz w:val="40"/>
          <w:szCs w:val="40"/>
        </w:rPr>
      </w:pPr>
      <w:r>
        <w:br w:type="page"/>
      </w:r>
    </w:p>
    <w:p w14:paraId="7BF47E98" w14:textId="67866237" w:rsidR="00463188" w:rsidRDefault="007B388A" w:rsidP="007B388A">
      <w:pPr>
        <w:pStyle w:val="Heading1"/>
      </w:pPr>
      <w:r>
        <w:lastRenderedPageBreak/>
        <w:t>Thank you, from the Rochester EIP team.</w:t>
      </w:r>
    </w:p>
    <w:p w14:paraId="005DA060" w14:textId="644E6DEE" w:rsidR="007B388A" w:rsidRDefault="007B388A" w:rsidP="00CA0520">
      <w:r>
        <w:t>We look forward to working together again this season.</w:t>
      </w:r>
    </w:p>
    <w:p w14:paraId="2F2B2D4B" w14:textId="3EC41CF1" w:rsidR="007B388A" w:rsidRDefault="007B388A" w:rsidP="007B388A">
      <w:pPr>
        <w:pStyle w:val="Heading2"/>
      </w:pPr>
      <w:r>
        <w:t>Questions? Send us an email</w:t>
      </w:r>
    </w:p>
    <w:p w14:paraId="3666374B" w14:textId="0C6BB5B1" w:rsidR="007B388A" w:rsidRDefault="007B388A" w:rsidP="00CA0520">
      <w:r>
        <w:t>Brenda Tesini, MD email: brenda_tesini@urmc.rochester.edu</w:t>
      </w:r>
    </w:p>
    <w:p w14:paraId="1C4BC7DF" w14:textId="2DF56A25" w:rsidR="007B388A" w:rsidRDefault="007B388A" w:rsidP="00CA0520">
      <w:r>
        <w:t>Christina Felsen, MPH email: christina_felsen@urmc.rochester.edu</w:t>
      </w:r>
    </w:p>
    <w:p w14:paraId="06E1A4E4" w14:textId="10C230F2" w:rsidR="007B388A" w:rsidRDefault="007B388A" w:rsidP="00CA0520">
      <w:r>
        <w:t>Maria Gaitan, BS email: maria_gaitan@urmc.rochester.edu</w:t>
      </w:r>
    </w:p>
    <w:p w14:paraId="158B839C" w14:textId="7116A681" w:rsidR="007B388A" w:rsidRDefault="007B388A" w:rsidP="00CA0520">
      <w:r>
        <w:t>Sophrena Bushey, MHS email: sophrena_bushey@urmc.rochester.edu</w:t>
      </w:r>
    </w:p>
    <w:p w14:paraId="2088EBED" w14:textId="05E65740" w:rsidR="007B388A" w:rsidRDefault="007B388A" w:rsidP="00CA0520">
      <w:r>
        <w:t>Kevin Popham, MPH email: kevin_popham@urmc.rochester.edu</w:t>
      </w:r>
    </w:p>
    <w:p w14:paraId="5AD9FC2A" w14:textId="6B5D5570" w:rsidR="007B388A" w:rsidRDefault="007B388A" w:rsidP="00CA0520">
      <w:r>
        <w:t>Erin Licherdell, MPH email: erin_licherdell@urmc.rochester.edu</w:t>
      </w:r>
    </w:p>
    <w:p w14:paraId="6D12DFCE" w14:textId="58084295" w:rsidR="007B388A" w:rsidRDefault="007B388A" w:rsidP="00CA0520">
      <w:r>
        <w:t xml:space="preserve">Katie St. George, MS email: </w:t>
      </w:r>
      <w:r w:rsidR="00D161F7">
        <w:t>katherine_stgeorge@urmc.rochester.edu</w:t>
      </w:r>
    </w:p>
    <w:p w14:paraId="2664152E" w14:textId="77777777" w:rsidR="00D161F7" w:rsidRDefault="00D161F7" w:rsidP="00CA0520"/>
    <w:p w14:paraId="50BEDFE0" w14:textId="119A84F7" w:rsidR="007B388A" w:rsidRDefault="007B388A" w:rsidP="007B388A">
      <w:pPr>
        <w:jc w:val="center"/>
      </w:pPr>
      <w:r w:rsidRPr="007B388A">
        <w:rPr>
          <w:noProof/>
        </w:rPr>
        <w:drawing>
          <wp:inline distT="0" distB="0" distL="0" distR="0" wp14:anchorId="6FEBBDDC" wp14:editId="1F7F5AFC">
            <wp:extent cx="5676900" cy="2890003"/>
            <wp:effectExtent l="0" t="0" r="0" b="5715"/>
            <wp:docPr id="101605041" name="Picture 1" descr="Photos of the Rochester EIP team. Row one (left to right): Brenda Tesini, Christina Felsen&#10;Row two (left to right): Maria Gaitan, Sophrena Bushey, Kevin Popham&#10;Row three (left to right): Erin Licherdell, Katie St. Ge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5041" name="Picture 1" descr="Photos of the Rochester EIP team. Row one (left to right): Brenda Tesini, Christina Felsen&#10;Row two (left to right): Maria Gaitan, Sophrena Bushey, Kevin Popham&#10;Row three (left to right): Erin Licherdell, Katie St. George"/>
                    <pic:cNvPicPr/>
                  </pic:nvPicPr>
                  <pic:blipFill>
                    <a:blip r:embed="rId18"/>
                    <a:stretch>
                      <a:fillRect/>
                    </a:stretch>
                  </pic:blipFill>
                  <pic:spPr>
                    <a:xfrm>
                      <a:off x="0" y="0"/>
                      <a:ext cx="5680261" cy="2891714"/>
                    </a:xfrm>
                    <a:prstGeom prst="rect">
                      <a:avLst/>
                    </a:prstGeom>
                  </pic:spPr>
                </pic:pic>
              </a:graphicData>
            </a:graphic>
          </wp:inline>
        </w:drawing>
      </w:r>
    </w:p>
    <w:p w14:paraId="24C08C58" w14:textId="5E3B832A" w:rsidR="007B388A" w:rsidRPr="00CA0520" w:rsidRDefault="007B388A" w:rsidP="007B388A">
      <w:pPr>
        <w:jc w:val="center"/>
      </w:pPr>
      <w:r w:rsidRPr="007B388A">
        <w:rPr>
          <w:noProof/>
        </w:rPr>
        <w:drawing>
          <wp:inline distT="0" distB="0" distL="0" distR="0" wp14:anchorId="41B12BAA" wp14:editId="38A51716">
            <wp:extent cx="1552575" cy="1537428"/>
            <wp:effectExtent l="0" t="0" r="0" b="5715"/>
            <wp:docPr id="1599655884" name="Picture 1" descr="Logo for CDC's RESP-Net surveillance containing images of the flu, RSV, and COVID-19 vir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55884" name="Picture 1" descr="Logo for CDC's RESP-Net surveillance containing images of the flu, RSV, and COVID-19 viruses"/>
                    <pic:cNvPicPr/>
                  </pic:nvPicPr>
                  <pic:blipFill>
                    <a:blip r:embed="rId19"/>
                    <a:stretch>
                      <a:fillRect/>
                    </a:stretch>
                  </pic:blipFill>
                  <pic:spPr>
                    <a:xfrm>
                      <a:off x="0" y="0"/>
                      <a:ext cx="1555374" cy="1540200"/>
                    </a:xfrm>
                    <a:prstGeom prst="rect">
                      <a:avLst/>
                    </a:prstGeom>
                  </pic:spPr>
                </pic:pic>
              </a:graphicData>
            </a:graphic>
          </wp:inline>
        </w:drawing>
      </w:r>
      <w:r w:rsidRPr="007B388A">
        <w:rPr>
          <w:noProof/>
        </w:rPr>
        <w:drawing>
          <wp:inline distT="0" distB="0" distL="0" distR="0" wp14:anchorId="0E8C7EB0" wp14:editId="72B8148F">
            <wp:extent cx="4267200" cy="985650"/>
            <wp:effectExtent l="0" t="0" r="0" b="5080"/>
            <wp:docPr id="895025695" name="Picture 1" descr="Logo for the Center for Community Health and Prevention with the UR Medicin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25695" name="Picture 1" descr="Logo for the Center for Community Health and Prevention with the UR Medicine cr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1961" cy="989059"/>
                    </a:xfrm>
                    <a:prstGeom prst="rect">
                      <a:avLst/>
                    </a:prstGeom>
                    <a:noFill/>
                    <a:ln>
                      <a:noFill/>
                    </a:ln>
                  </pic:spPr>
                </pic:pic>
              </a:graphicData>
            </a:graphic>
          </wp:inline>
        </w:drawing>
      </w:r>
    </w:p>
    <w:sectPr w:rsidR="007B388A" w:rsidRPr="00CA0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3401"/>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30737"/>
    <w:multiLevelType w:val="multilevel"/>
    <w:tmpl w:val="47108D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E126A"/>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7519E"/>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344FE"/>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384491">
    <w:abstractNumId w:val="1"/>
  </w:num>
  <w:num w:numId="2" w16cid:durableId="599752207">
    <w:abstractNumId w:val="2"/>
  </w:num>
  <w:num w:numId="3" w16cid:durableId="1542136496">
    <w:abstractNumId w:val="4"/>
  </w:num>
  <w:num w:numId="4" w16cid:durableId="74137482">
    <w:abstractNumId w:val="3"/>
  </w:num>
  <w:num w:numId="5" w16cid:durableId="201190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56"/>
    <w:rsid w:val="000173BF"/>
    <w:rsid w:val="00180DA0"/>
    <w:rsid w:val="00301B03"/>
    <w:rsid w:val="00463188"/>
    <w:rsid w:val="0070165C"/>
    <w:rsid w:val="00701719"/>
    <w:rsid w:val="007975D7"/>
    <w:rsid w:val="007B388A"/>
    <w:rsid w:val="007F6401"/>
    <w:rsid w:val="0080463D"/>
    <w:rsid w:val="008E1606"/>
    <w:rsid w:val="00954CEB"/>
    <w:rsid w:val="00AD102B"/>
    <w:rsid w:val="00B92C92"/>
    <w:rsid w:val="00C71758"/>
    <w:rsid w:val="00CA0520"/>
    <w:rsid w:val="00D11ECB"/>
    <w:rsid w:val="00D161F7"/>
    <w:rsid w:val="00D22F56"/>
    <w:rsid w:val="00DC1220"/>
    <w:rsid w:val="00E5190F"/>
    <w:rsid w:val="00E8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3239"/>
  <w15:chartTrackingRefBased/>
  <w15:docId w15:val="{CA7D3C2C-B69A-4584-91DD-74186C50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F56"/>
    <w:rPr>
      <w:rFonts w:eastAsiaTheme="majorEastAsia" w:cstheme="majorBidi"/>
      <w:color w:val="272727" w:themeColor="text1" w:themeTint="D8"/>
    </w:rPr>
  </w:style>
  <w:style w:type="paragraph" w:styleId="Title">
    <w:name w:val="Title"/>
    <w:basedOn w:val="Normal"/>
    <w:next w:val="Normal"/>
    <w:link w:val="TitleChar"/>
    <w:uiPriority w:val="10"/>
    <w:qFormat/>
    <w:rsid w:val="00D2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F56"/>
    <w:pPr>
      <w:spacing w:before="160"/>
      <w:jc w:val="center"/>
    </w:pPr>
    <w:rPr>
      <w:i/>
      <w:iCs/>
      <w:color w:val="404040" w:themeColor="text1" w:themeTint="BF"/>
    </w:rPr>
  </w:style>
  <w:style w:type="character" w:customStyle="1" w:styleId="QuoteChar">
    <w:name w:val="Quote Char"/>
    <w:basedOn w:val="DefaultParagraphFont"/>
    <w:link w:val="Quote"/>
    <w:uiPriority w:val="29"/>
    <w:rsid w:val="00D22F56"/>
    <w:rPr>
      <w:i/>
      <w:iCs/>
      <w:color w:val="404040" w:themeColor="text1" w:themeTint="BF"/>
    </w:rPr>
  </w:style>
  <w:style w:type="paragraph" w:styleId="ListParagraph">
    <w:name w:val="List Paragraph"/>
    <w:basedOn w:val="Normal"/>
    <w:uiPriority w:val="34"/>
    <w:qFormat/>
    <w:rsid w:val="00D22F56"/>
    <w:pPr>
      <w:ind w:left="720"/>
      <w:contextualSpacing/>
    </w:pPr>
  </w:style>
  <w:style w:type="character" w:styleId="IntenseEmphasis">
    <w:name w:val="Intense Emphasis"/>
    <w:basedOn w:val="DefaultParagraphFont"/>
    <w:uiPriority w:val="21"/>
    <w:qFormat/>
    <w:rsid w:val="00D22F56"/>
    <w:rPr>
      <w:i/>
      <w:iCs/>
      <w:color w:val="0F4761" w:themeColor="accent1" w:themeShade="BF"/>
    </w:rPr>
  </w:style>
  <w:style w:type="paragraph" w:styleId="IntenseQuote">
    <w:name w:val="Intense Quote"/>
    <w:basedOn w:val="Normal"/>
    <w:next w:val="Normal"/>
    <w:link w:val="IntenseQuoteChar"/>
    <w:uiPriority w:val="30"/>
    <w:qFormat/>
    <w:rsid w:val="00D2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56"/>
    <w:rPr>
      <w:i/>
      <w:iCs/>
      <w:color w:val="0F4761" w:themeColor="accent1" w:themeShade="BF"/>
    </w:rPr>
  </w:style>
  <w:style w:type="character" w:styleId="IntenseReference">
    <w:name w:val="Intense Reference"/>
    <w:basedOn w:val="DefaultParagraphFont"/>
    <w:uiPriority w:val="32"/>
    <w:qFormat/>
    <w:rsid w:val="00D22F56"/>
    <w:rPr>
      <w:b/>
      <w:bCs/>
      <w:smallCaps/>
      <w:color w:val="0F4761" w:themeColor="accent1" w:themeShade="BF"/>
      <w:spacing w:val="5"/>
    </w:rPr>
  </w:style>
  <w:style w:type="character" w:styleId="Hyperlink">
    <w:name w:val="Hyperlink"/>
    <w:basedOn w:val="DefaultParagraphFont"/>
    <w:uiPriority w:val="99"/>
    <w:unhideWhenUsed/>
    <w:rsid w:val="00D11ECB"/>
    <w:rPr>
      <w:color w:val="467886" w:themeColor="hyperlink"/>
      <w:u w:val="single"/>
    </w:rPr>
  </w:style>
  <w:style w:type="character" w:styleId="UnresolvedMention">
    <w:name w:val="Unresolved Mention"/>
    <w:basedOn w:val="DefaultParagraphFont"/>
    <w:uiPriority w:val="99"/>
    <w:semiHidden/>
    <w:unhideWhenUsed/>
    <w:rsid w:val="00D11ECB"/>
    <w:rPr>
      <w:color w:val="605E5C"/>
      <w:shd w:val="clear" w:color="auto" w:fill="E1DFDD"/>
    </w:rPr>
  </w:style>
  <w:style w:type="table" w:styleId="TableGrid">
    <w:name w:val="Table Grid"/>
    <w:basedOn w:val="TableNormal"/>
    <w:uiPriority w:val="39"/>
    <w:rsid w:val="0070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525861025002774" TargetMode="External"/><Relationship Id="rId13" Type="http://schemas.openxmlformats.org/officeDocument/2006/relationships/chart" Target="charts/chart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resp-net/dashboard/index.html" TargetMode="External"/><Relationship Id="rId12" Type="http://schemas.openxmlformats.org/officeDocument/2006/relationships/hyperlink" Target="https://jamanetwork.com/journals/jamanetworkopen/fullarticle/2826104" TargetMode="Externa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hyperlink" Target="https://rochealthdata.org/influenza-surveillance-dashboard/?l=36055" TargetMode="External"/><Relationship Id="rId11" Type="http://schemas.openxmlformats.org/officeDocument/2006/relationships/hyperlink" Target="https://publications.aap.org/pediatrics/article/156/3/e2025072788/202525/Hospitalization-for-COVID-19-and-Risk-Factors-for?searchresult=1%3fautologincheck%3dredirected?autologincheck=redirected" TargetMode="External"/><Relationship Id="rId5" Type="http://schemas.openxmlformats.org/officeDocument/2006/relationships/image" Target="media/image1.png"/><Relationship Id="rId15" Type="http://schemas.openxmlformats.org/officeDocument/2006/relationships/chart" Target="charts/chart3.xml"/><Relationship Id="rId10" Type="http://schemas.openxmlformats.org/officeDocument/2006/relationships/hyperlink" Target="https://www.cdc.gov/mmwr/volumes/74/wr/mm7416a1.htm?s_cid=mm7416a1_e&amp;ACSTrackingID=USCDC_921-DM147022&amp;ACSTrackingLabel=This%20Week%20in%20MMWR%3A%20Vol.%2074%2C%20May%208%2C%202025&amp;deliveryName=USCDC_921-DM147022"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dc.gov/mmwr/volumes/74/wr/mm7434a1.htm?s_cid=OS_mm7434a1_w"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MONTHLY</a:t>
            </a:r>
            <a:r>
              <a:rPr lang="en-US" baseline="0"/>
              <a:t> FLU, COVID AND RSV HOSPITALIZATIONS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COVID</c:v>
          </c:tx>
          <c:spPr>
            <a:ln w="28575" cap="rnd">
              <a:solidFill>
                <a:srgbClr val="FF0000"/>
              </a:solidFill>
              <a:prstDash val="sysDash"/>
              <a:round/>
            </a:ln>
            <a:effectLst/>
          </c:spPr>
          <c:marker>
            <c:symbol val="none"/>
          </c:marker>
          <c:cat>
            <c:strRef>
              <c:f>Sheet1!$A$2:$A$8</c:f>
              <c:strCache>
                <c:ptCount val="7"/>
                <c:pt idx="0">
                  <c:v>Oct</c:v>
                </c:pt>
                <c:pt idx="1">
                  <c:v>Nov</c:v>
                </c:pt>
                <c:pt idx="2">
                  <c:v>Dec</c:v>
                </c:pt>
                <c:pt idx="3">
                  <c:v>Jan</c:v>
                </c:pt>
                <c:pt idx="4">
                  <c:v>Feb</c:v>
                </c:pt>
                <c:pt idx="5">
                  <c:v>Mar</c:v>
                </c:pt>
                <c:pt idx="6">
                  <c:v>Apr</c:v>
                </c:pt>
              </c:strCache>
            </c:strRef>
          </c:cat>
          <c:val>
            <c:numRef>
              <c:f>Sheet1!$B$2:$B$8</c:f>
              <c:numCache>
                <c:formatCode>General</c:formatCode>
                <c:ptCount val="7"/>
                <c:pt idx="0">
                  <c:v>300</c:v>
                </c:pt>
                <c:pt idx="1">
                  <c:v>166</c:v>
                </c:pt>
                <c:pt idx="2">
                  <c:v>271</c:v>
                </c:pt>
                <c:pt idx="3">
                  <c:v>304</c:v>
                </c:pt>
                <c:pt idx="4">
                  <c:v>206</c:v>
                </c:pt>
                <c:pt idx="5">
                  <c:v>189</c:v>
                </c:pt>
                <c:pt idx="6">
                  <c:v>207</c:v>
                </c:pt>
              </c:numCache>
            </c:numRef>
          </c:val>
          <c:smooth val="0"/>
          <c:extLst>
            <c:ext xmlns:c16="http://schemas.microsoft.com/office/drawing/2014/chart" uri="{C3380CC4-5D6E-409C-BE32-E72D297353CC}">
              <c16:uniqueId val="{00000000-078D-4C1A-ACAE-EAEB1700F908}"/>
            </c:ext>
          </c:extLst>
        </c:ser>
        <c:ser>
          <c:idx val="1"/>
          <c:order val="1"/>
          <c:tx>
            <c:v>RSV</c:v>
          </c:tx>
          <c:spPr>
            <a:ln w="28575" cap="rnd">
              <a:solidFill>
                <a:schemeClr val="accent5">
                  <a:lumMod val="60000"/>
                  <a:lumOff val="40000"/>
                </a:schemeClr>
              </a:solidFill>
              <a:prstDash val="lgDash"/>
              <a:round/>
            </a:ln>
            <a:effectLst/>
          </c:spPr>
          <c:marker>
            <c:symbol val="none"/>
          </c:marker>
          <c:cat>
            <c:strRef>
              <c:f>Sheet1!$A$2:$A$8</c:f>
              <c:strCache>
                <c:ptCount val="7"/>
                <c:pt idx="0">
                  <c:v>Oct</c:v>
                </c:pt>
                <c:pt idx="1">
                  <c:v>Nov</c:v>
                </c:pt>
                <c:pt idx="2">
                  <c:v>Dec</c:v>
                </c:pt>
                <c:pt idx="3">
                  <c:v>Jan</c:v>
                </c:pt>
                <c:pt idx="4">
                  <c:v>Feb</c:v>
                </c:pt>
                <c:pt idx="5">
                  <c:v>Mar</c:v>
                </c:pt>
                <c:pt idx="6">
                  <c:v>Apr</c:v>
                </c:pt>
              </c:strCache>
            </c:strRef>
          </c:cat>
          <c:val>
            <c:numRef>
              <c:f>Sheet1!$C$2:$C$8</c:f>
              <c:numCache>
                <c:formatCode>General</c:formatCode>
                <c:ptCount val="7"/>
                <c:pt idx="0">
                  <c:v>14</c:v>
                </c:pt>
                <c:pt idx="1">
                  <c:v>56</c:v>
                </c:pt>
                <c:pt idx="2">
                  <c:v>199</c:v>
                </c:pt>
                <c:pt idx="3">
                  <c:v>178</c:v>
                </c:pt>
                <c:pt idx="4">
                  <c:v>70</c:v>
                </c:pt>
                <c:pt idx="5">
                  <c:v>45</c:v>
                </c:pt>
                <c:pt idx="6">
                  <c:v>33</c:v>
                </c:pt>
              </c:numCache>
            </c:numRef>
          </c:val>
          <c:smooth val="0"/>
          <c:extLst>
            <c:ext xmlns:c16="http://schemas.microsoft.com/office/drawing/2014/chart" uri="{C3380CC4-5D6E-409C-BE32-E72D297353CC}">
              <c16:uniqueId val="{00000001-078D-4C1A-ACAE-EAEB1700F908}"/>
            </c:ext>
          </c:extLst>
        </c:ser>
        <c:ser>
          <c:idx val="2"/>
          <c:order val="2"/>
          <c:tx>
            <c:v>FLU</c:v>
          </c:tx>
          <c:spPr>
            <a:ln w="28575" cap="rnd">
              <a:solidFill>
                <a:schemeClr val="accent1">
                  <a:lumMod val="60000"/>
                  <a:lumOff val="40000"/>
                </a:schemeClr>
              </a:solidFill>
              <a:round/>
            </a:ln>
            <a:effectLst/>
          </c:spPr>
          <c:marker>
            <c:symbol val="none"/>
          </c:marker>
          <c:cat>
            <c:strRef>
              <c:f>Sheet1!$A$2:$A$8</c:f>
              <c:strCache>
                <c:ptCount val="7"/>
                <c:pt idx="0">
                  <c:v>Oct</c:v>
                </c:pt>
                <c:pt idx="1">
                  <c:v>Nov</c:v>
                </c:pt>
                <c:pt idx="2">
                  <c:v>Dec</c:v>
                </c:pt>
                <c:pt idx="3">
                  <c:v>Jan</c:v>
                </c:pt>
                <c:pt idx="4">
                  <c:v>Feb</c:v>
                </c:pt>
                <c:pt idx="5">
                  <c:v>Mar</c:v>
                </c:pt>
                <c:pt idx="6">
                  <c:v>Apr</c:v>
                </c:pt>
              </c:strCache>
            </c:strRef>
          </c:cat>
          <c:val>
            <c:numRef>
              <c:f>Sheet1!$D$2:$D$8</c:f>
              <c:numCache>
                <c:formatCode>General</c:formatCode>
                <c:ptCount val="7"/>
                <c:pt idx="0">
                  <c:v>3</c:v>
                </c:pt>
                <c:pt idx="1">
                  <c:v>21</c:v>
                </c:pt>
                <c:pt idx="2">
                  <c:v>223</c:v>
                </c:pt>
                <c:pt idx="3">
                  <c:v>647</c:v>
                </c:pt>
                <c:pt idx="4">
                  <c:v>780</c:v>
                </c:pt>
                <c:pt idx="5">
                  <c:v>284</c:v>
                </c:pt>
                <c:pt idx="6">
                  <c:v>122</c:v>
                </c:pt>
              </c:numCache>
            </c:numRef>
          </c:val>
          <c:smooth val="0"/>
          <c:extLst>
            <c:ext xmlns:c16="http://schemas.microsoft.com/office/drawing/2014/chart" uri="{C3380CC4-5D6E-409C-BE32-E72D297353CC}">
              <c16:uniqueId val="{00000002-078D-4C1A-ACAE-EAEB1700F908}"/>
            </c:ext>
          </c:extLst>
        </c:ser>
        <c:dLbls>
          <c:showLegendKey val="0"/>
          <c:showVal val="0"/>
          <c:showCatName val="0"/>
          <c:showSerName val="0"/>
          <c:showPercent val="0"/>
          <c:showBubbleSize val="0"/>
        </c:dLbls>
        <c:smooth val="0"/>
        <c:axId val="795051136"/>
        <c:axId val="795040576"/>
      </c:lineChart>
      <c:catAx>
        <c:axId val="79505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040576"/>
        <c:crosses val="autoZero"/>
        <c:auto val="1"/>
        <c:lblAlgn val="ctr"/>
        <c:lblOffset val="100"/>
        <c:noMultiLvlLbl val="0"/>
      </c:catAx>
      <c:valAx>
        <c:axId val="79504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05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FLU, COVID AND RSV POSITIVE TESTS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Sheet1!$A$27</c:f>
              <c:strCache>
                <c:ptCount val="1"/>
                <c:pt idx="0">
                  <c:v>POSITIVE TEST COUNT</c:v>
                </c:pt>
              </c:strCache>
            </c:strRef>
          </c:tx>
          <c:spPr>
            <a:solidFill>
              <a:schemeClr val="accent1"/>
            </a:solidFill>
            <a:ln>
              <a:solidFill>
                <a:schemeClr val="accent4">
                  <a:lumMod val="60000"/>
                  <a:lumOff val="40000"/>
                </a:schemeClr>
              </a:solidFill>
            </a:ln>
            <a:effectLst/>
          </c:spPr>
          <c:invertIfNegative val="0"/>
          <c:dPt>
            <c:idx val="0"/>
            <c:invertIfNegative val="0"/>
            <c:bubble3D val="0"/>
            <c:spPr>
              <a:solidFill>
                <a:schemeClr val="accent4">
                  <a:lumMod val="40000"/>
                  <a:lumOff val="60000"/>
                </a:schemeClr>
              </a:solidFill>
              <a:ln>
                <a:solidFill>
                  <a:schemeClr val="accent4">
                    <a:lumMod val="60000"/>
                    <a:lumOff val="40000"/>
                  </a:schemeClr>
                </a:solidFill>
              </a:ln>
              <a:effectLst/>
            </c:spPr>
            <c:extLst>
              <c:ext xmlns:c16="http://schemas.microsoft.com/office/drawing/2014/chart" uri="{C3380CC4-5D6E-409C-BE32-E72D297353CC}">
                <c16:uniqueId val="{00000001-6945-4A12-BF99-ACF33B44E487}"/>
              </c:ext>
            </c:extLst>
          </c:dPt>
          <c:dPt>
            <c:idx val="1"/>
            <c:invertIfNegative val="0"/>
            <c:bubble3D val="0"/>
            <c:spPr>
              <a:solidFill>
                <a:srgbClr val="FF0000"/>
              </a:solidFill>
              <a:ln>
                <a:solidFill>
                  <a:srgbClr val="FF0000"/>
                </a:solidFill>
              </a:ln>
              <a:effectLst/>
            </c:spPr>
            <c:extLst>
              <c:ext xmlns:c16="http://schemas.microsoft.com/office/drawing/2014/chart" uri="{C3380CC4-5D6E-409C-BE32-E72D297353CC}">
                <c16:uniqueId val="{00000003-6945-4A12-BF99-ACF33B44E487}"/>
              </c:ext>
            </c:extLst>
          </c:dPt>
          <c:dPt>
            <c:idx val="2"/>
            <c:invertIfNegative val="0"/>
            <c:bubble3D val="0"/>
            <c:spPr>
              <a:solidFill>
                <a:schemeClr val="accent5">
                  <a:lumMod val="60000"/>
                  <a:lumOff val="40000"/>
                </a:schemeClr>
              </a:solidFill>
              <a:ln>
                <a:solidFill>
                  <a:schemeClr val="accent5">
                    <a:lumMod val="60000"/>
                    <a:lumOff val="40000"/>
                  </a:schemeClr>
                </a:solidFill>
              </a:ln>
              <a:effectLst/>
            </c:spPr>
            <c:extLst>
              <c:ext xmlns:c16="http://schemas.microsoft.com/office/drawing/2014/chart" uri="{C3380CC4-5D6E-409C-BE32-E72D297353CC}">
                <c16:uniqueId val="{00000005-6945-4A12-BF99-ACF33B44E4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Sheet1!$B$26:$D$26</c:f>
              <c:strCache>
                <c:ptCount val="3"/>
                <c:pt idx="0">
                  <c:v>FLU</c:v>
                </c:pt>
                <c:pt idx="1">
                  <c:v>COVID</c:v>
                </c:pt>
                <c:pt idx="2">
                  <c:v>RSV</c:v>
                </c:pt>
              </c:strCache>
            </c:strRef>
          </c:cat>
          <c:val>
            <c:numRef>
              <c:f>Sheet1!$B$27:$D$27</c:f>
              <c:numCache>
                <c:formatCode>General</c:formatCode>
                <c:ptCount val="3"/>
                <c:pt idx="0">
                  <c:v>27999</c:v>
                </c:pt>
                <c:pt idx="1">
                  <c:v>12145</c:v>
                </c:pt>
                <c:pt idx="2">
                  <c:v>6391</c:v>
                </c:pt>
              </c:numCache>
            </c:numRef>
          </c:val>
          <c:extLst>
            <c:ext xmlns:c16="http://schemas.microsoft.com/office/drawing/2014/chart" uri="{C3380CC4-5D6E-409C-BE32-E72D297353CC}">
              <c16:uniqueId val="{00000006-6945-4A12-BF99-ACF33B44E487}"/>
            </c:ext>
          </c:extLst>
        </c:ser>
        <c:dLbls>
          <c:dLblPos val="outEnd"/>
          <c:showLegendKey val="0"/>
          <c:showVal val="1"/>
          <c:showCatName val="0"/>
          <c:showSerName val="0"/>
          <c:showPercent val="0"/>
          <c:showBubbleSize val="0"/>
        </c:dLbls>
        <c:gapWidth val="219"/>
        <c:overlap val="-27"/>
        <c:axId val="1130952480"/>
        <c:axId val="1130952960"/>
      </c:barChart>
      <c:catAx>
        <c:axId val="113095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0952960"/>
        <c:crosses val="autoZero"/>
        <c:auto val="1"/>
        <c:lblAlgn val="ctr"/>
        <c:lblOffset val="100"/>
        <c:noMultiLvlLbl val="0"/>
      </c:catAx>
      <c:valAx>
        <c:axId val="113095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Positive Test Count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0952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PERCENT OF CASES VACCINATED</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dPt>
            <c:idx val="0"/>
            <c:invertIfNegative val="0"/>
            <c:bubble3D val="0"/>
            <c:spPr>
              <a:solidFill>
                <a:schemeClr val="accent1">
                  <a:lumMod val="60000"/>
                  <a:lumOff val="40000"/>
                </a:schemeClr>
              </a:solidFill>
              <a:ln>
                <a:solidFill>
                  <a:schemeClr val="tx1"/>
                </a:solidFill>
              </a:ln>
              <a:effectLst/>
            </c:spPr>
            <c:extLst>
              <c:ext xmlns:c16="http://schemas.microsoft.com/office/drawing/2014/chart" uri="{C3380CC4-5D6E-409C-BE32-E72D297353CC}">
                <c16:uniqueId val="{00000001-AB9F-4B7D-84D0-A990E9E073BE}"/>
              </c:ext>
            </c:extLst>
          </c:dPt>
          <c:dPt>
            <c:idx val="1"/>
            <c:invertIfNegative val="0"/>
            <c:bubble3D val="0"/>
            <c:spPr>
              <a:solidFill>
                <a:srgbClr val="FF0000"/>
              </a:solidFill>
              <a:ln>
                <a:solidFill>
                  <a:schemeClr val="tx1"/>
                </a:solidFill>
              </a:ln>
              <a:effectLst/>
            </c:spPr>
            <c:extLst>
              <c:ext xmlns:c16="http://schemas.microsoft.com/office/drawing/2014/chart" uri="{C3380CC4-5D6E-409C-BE32-E72D297353CC}">
                <c16:uniqueId val="{00000003-AB9F-4B7D-84D0-A990E9E073BE}"/>
              </c:ext>
            </c:extLst>
          </c:dPt>
          <c:dPt>
            <c:idx val="2"/>
            <c:invertIfNegative val="0"/>
            <c:bubble3D val="0"/>
            <c:spPr>
              <a:solidFill>
                <a:schemeClr val="accent5">
                  <a:lumMod val="60000"/>
                  <a:lumOff val="40000"/>
                </a:schemeClr>
              </a:solidFill>
              <a:ln>
                <a:solidFill>
                  <a:schemeClr val="tx1"/>
                </a:solidFill>
              </a:ln>
              <a:effectLst/>
            </c:spPr>
            <c:extLst>
              <c:ext xmlns:c16="http://schemas.microsoft.com/office/drawing/2014/chart" uri="{C3380CC4-5D6E-409C-BE32-E72D297353CC}">
                <c16:uniqueId val="{00000005-AB9F-4B7D-84D0-A990E9E073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Sheet1!$B$47:$D$47</c:f>
              <c:strCache>
                <c:ptCount val="3"/>
                <c:pt idx="0">
                  <c:v>FLU</c:v>
                </c:pt>
                <c:pt idx="1">
                  <c:v>COVID</c:v>
                </c:pt>
                <c:pt idx="2">
                  <c:v>RSV</c:v>
                </c:pt>
              </c:strCache>
            </c:strRef>
          </c:cat>
          <c:val>
            <c:numRef>
              <c:f>Sheet1!$B$48:$D$48</c:f>
              <c:numCache>
                <c:formatCode>General</c:formatCode>
                <c:ptCount val="3"/>
                <c:pt idx="0">
                  <c:v>29</c:v>
                </c:pt>
                <c:pt idx="1">
                  <c:v>31</c:v>
                </c:pt>
                <c:pt idx="2">
                  <c:v>14</c:v>
                </c:pt>
              </c:numCache>
            </c:numRef>
          </c:val>
          <c:extLst>
            <c:ext xmlns:c15="http://schemas.microsoft.com/office/drawing/2012/chart" uri="{02D57815-91ED-43cb-92C2-25804820EDAC}">
              <c15:filteredSeriesTitle>
                <c15:tx>
                  <c:strRef>
                    <c:extLst>
                      <c:ext uri="{02D57815-91ED-43cb-92C2-25804820EDAC}">
                        <c15:formulaRef>
                          <c15:sqref> </c15:sqref>
                        </c15:formulaRef>
                      </c:ext>
                    </c:extLst>
                  </c:strRef>
                </c15:tx>
              </c15:filteredSeriesTitle>
            </c:ext>
            <c:ext xmlns:c16="http://schemas.microsoft.com/office/drawing/2014/chart" uri="{C3380CC4-5D6E-409C-BE32-E72D297353CC}">
              <c16:uniqueId val="{00000006-AB9F-4B7D-84D0-A990E9E073BE}"/>
            </c:ext>
          </c:extLst>
        </c:ser>
        <c:dLbls>
          <c:dLblPos val="ctr"/>
          <c:showLegendKey val="0"/>
          <c:showVal val="1"/>
          <c:showCatName val="0"/>
          <c:showSerName val="0"/>
          <c:showPercent val="0"/>
          <c:showBubbleSize val="0"/>
        </c:dLbls>
        <c:gapWidth val="79"/>
        <c:overlap val="100"/>
        <c:axId val="1130954400"/>
        <c:axId val="1130954880"/>
      </c:barChart>
      <c:catAx>
        <c:axId val="113095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30954880"/>
        <c:crosses val="autoZero"/>
        <c:auto val="1"/>
        <c:lblAlgn val="ctr"/>
        <c:lblOffset val="100"/>
        <c:noMultiLvlLbl val="0"/>
      </c:catAx>
      <c:valAx>
        <c:axId val="1130954880"/>
        <c:scaling>
          <c:orientation val="minMax"/>
          <c:max val="100"/>
        </c:scaling>
        <c:delete val="1"/>
        <c:axPos val="b"/>
        <c:numFmt formatCode="General" sourceLinked="1"/>
        <c:majorTickMark val="none"/>
        <c:minorTickMark val="none"/>
        <c:tickLblPos val="nextTo"/>
        <c:crossAx val="113095440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PERCENT OF CASES SEQUENCED OR SUBTYPED</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Sheet1!$A$68</c:f>
              <c:strCache>
                <c:ptCount val="1"/>
                <c:pt idx="0">
                  <c:v>PERCENT</c:v>
                </c:pt>
              </c:strCache>
            </c:strRef>
          </c:tx>
          <c:spPr>
            <a:solidFill>
              <a:schemeClr val="accent1"/>
            </a:solidFill>
            <a:ln>
              <a:solidFill>
                <a:sysClr val="windowText" lastClr="000000"/>
              </a:solidFill>
            </a:ln>
            <a:effectLst/>
          </c:spPr>
          <c:invertIfNegative val="0"/>
          <c:dPt>
            <c:idx val="0"/>
            <c:invertIfNegative val="0"/>
            <c:bubble3D val="0"/>
            <c:spPr>
              <a:solidFill>
                <a:schemeClr val="accent1">
                  <a:lumMod val="60000"/>
                  <a:lumOff val="40000"/>
                </a:schemeClr>
              </a:solidFill>
              <a:ln>
                <a:solidFill>
                  <a:sysClr val="windowText" lastClr="000000"/>
                </a:solidFill>
              </a:ln>
              <a:effectLst/>
            </c:spPr>
            <c:extLst>
              <c:ext xmlns:c16="http://schemas.microsoft.com/office/drawing/2014/chart" uri="{C3380CC4-5D6E-409C-BE32-E72D297353CC}">
                <c16:uniqueId val="{00000001-3A55-403C-9FA5-9A15004D6599}"/>
              </c:ext>
            </c:extLst>
          </c:dPt>
          <c:dPt>
            <c:idx val="1"/>
            <c:invertIfNegative val="0"/>
            <c:bubble3D val="0"/>
            <c:spPr>
              <a:solidFill>
                <a:srgbClr val="FF0000"/>
              </a:solidFill>
              <a:ln>
                <a:solidFill>
                  <a:sysClr val="windowText" lastClr="000000"/>
                </a:solidFill>
              </a:ln>
              <a:effectLst/>
            </c:spPr>
            <c:extLst>
              <c:ext xmlns:c16="http://schemas.microsoft.com/office/drawing/2014/chart" uri="{C3380CC4-5D6E-409C-BE32-E72D297353CC}">
                <c16:uniqueId val="{00000003-3A55-403C-9FA5-9A15004D65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Sheet1!$B$67:$C$67</c:f>
              <c:strCache>
                <c:ptCount val="2"/>
                <c:pt idx="0">
                  <c:v>FLU SUBTYPING</c:v>
                </c:pt>
                <c:pt idx="1">
                  <c:v>COVID SEQUENCING</c:v>
                </c:pt>
              </c:strCache>
            </c:strRef>
          </c:cat>
          <c:val>
            <c:numRef>
              <c:f>Sheet1!$B$68:$C$68</c:f>
              <c:numCache>
                <c:formatCode>General</c:formatCode>
                <c:ptCount val="2"/>
                <c:pt idx="0">
                  <c:v>39</c:v>
                </c:pt>
                <c:pt idx="1">
                  <c:v>22</c:v>
                </c:pt>
              </c:numCache>
            </c:numRef>
          </c:val>
          <c:extLst>
            <c:ext xmlns:c16="http://schemas.microsoft.com/office/drawing/2014/chart" uri="{C3380CC4-5D6E-409C-BE32-E72D297353CC}">
              <c16:uniqueId val="{00000004-3A55-403C-9FA5-9A15004D6599}"/>
            </c:ext>
          </c:extLst>
        </c:ser>
        <c:ser>
          <c:idx val="1"/>
          <c:order val="1"/>
          <c:tx>
            <c:strRef>
              <c:f>Sheet1!$A$69</c:f>
              <c:strCache>
                <c:ptCount val="1"/>
                <c:pt idx="0">
                  <c:v>NOT</c:v>
                </c:pt>
              </c:strCache>
            </c:strRef>
          </c:tx>
          <c:spPr>
            <a:solidFill>
              <a:sysClr val="window" lastClr="FFFFFF"/>
            </a:solidFill>
            <a:ln>
              <a:solidFill>
                <a:schemeClr val="tx1"/>
              </a:solidFill>
            </a:ln>
            <a:effectLst/>
          </c:spPr>
          <c:invertIfNegative val="0"/>
          <c:dLbls>
            <c:delete val="1"/>
          </c:dLbls>
          <c:cat>
            <c:strRef>
              <c:f>Sheet1!$B$67:$C$67</c:f>
              <c:strCache>
                <c:ptCount val="2"/>
                <c:pt idx="0">
                  <c:v>FLU SUBTYPING</c:v>
                </c:pt>
                <c:pt idx="1">
                  <c:v>COVID SEQUENCING</c:v>
                </c:pt>
              </c:strCache>
            </c:strRef>
          </c:cat>
          <c:val>
            <c:numRef>
              <c:f>Sheet1!$B$69:$C$69</c:f>
              <c:numCache>
                <c:formatCode>General</c:formatCode>
                <c:ptCount val="2"/>
                <c:pt idx="0">
                  <c:v>61</c:v>
                </c:pt>
                <c:pt idx="1">
                  <c:v>78</c:v>
                </c:pt>
              </c:numCache>
            </c:numRef>
          </c:val>
          <c:extLst>
            <c:ext xmlns:c16="http://schemas.microsoft.com/office/drawing/2014/chart" uri="{C3380CC4-5D6E-409C-BE32-E72D297353CC}">
              <c16:uniqueId val="{00000005-3A55-403C-9FA5-9A15004D6599}"/>
            </c:ext>
          </c:extLst>
        </c:ser>
        <c:dLbls>
          <c:dLblPos val="ctr"/>
          <c:showLegendKey val="0"/>
          <c:showVal val="1"/>
          <c:showCatName val="0"/>
          <c:showSerName val="0"/>
          <c:showPercent val="0"/>
          <c:showBubbleSize val="0"/>
        </c:dLbls>
        <c:gapWidth val="79"/>
        <c:overlap val="100"/>
        <c:axId val="1403991712"/>
        <c:axId val="1403992672"/>
      </c:barChart>
      <c:catAx>
        <c:axId val="140399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403992672"/>
        <c:crosses val="autoZero"/>
        <c:auto val="1"/>
        <c:lblAlgn val="ctr"/>
        <c:lblOffset val="100"/>
        <c:noMultiLvlLbl val="0"/>
      </c:catAx>
      <c:valAx>
        <c:axId val="1403992672"/>
        <c:scaling>
          <c:orientation val="minMax"/>
          <c:max val="100"/>
        </c:scaling>
        <c:delete val="1"/>
        <c:axPos val="b"/>
        <c:numFmt formatCode="General" sourceLinked="1"/>
        <c:majorTickMark val="none"/>
        <c:minorTickMark val="none"/>
        <c:tickLblPos val="nextTo"/>
        <c:crossAx val="1403991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FLU SUBTYPING RESULTS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Sheet1!$B$84</c:f>
              <c:strCache>
                <c:ptCount val="1"/>
                <c:pt idx="0">
                  <c:v>count</c:v>
                </c:pt>
              </c:strCache>
            </c:strRef>
          </c:tx>
          <c:spPr>
            <a:solidFill>
              <a:schemeClr val="tx2">
                <a:lumMod val="75000"/>
                <a:lumOff val="25000"/>
              </a:schemeClr>
            </a:solidFill>
          </c:spPr>
          <c:dPt>
            <c:idx val="0"/>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B16-47BB-B14C-615900A8E16B}"/>
              </c:ext>
            </c:extLst>
          </c:dPt>
          <c:dPt>
            <c:idx val="1"/>
            <c:bubble3D val="0"/>
            <c:spPr>
              <a:solidFill>
                <a:schemeClr val="accent4">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B16-47BB-B14C-615900A8E16B}"/>
              </c:ext>
            </c:extLst>
          </c:dPt>
          <c:dPt>
            <c:idx val="2"/>
            <c:bubble3D val="0"/>
            <c:spPr>
              <a:solidFill>
                <a:schemeClr val="accent2">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B16-47BB-B14C-615900A8E16B}"/>
              </c:ext>
            </c:extLst>
          </c:dPt>
          <c:dLbls>
            <c:dLbl>
              <c:idx val="0"/>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1D9D98E6-9B0E-448B-85ED-33ED04A71D32}" type="CATEGORYNAME">
                      <a:rPr lang="en-US">
                        <a:solidFill>
                          <a:schemeClr val="accent1">
                            <a:lumMod val="60000"/>
                            <a:lumOff val="40000"/>
                          </a:schemeClr>
                        </a:solidFill>
                      </a:rPr>
                      <a:pPr>
                        <a:defRPr/>
                      </a:pPr>
                      <a:t>[CATEGORY NAME]</a:t>
                    </a:fld>
                    <a:r>
                      <a:rPr lang="en-US" baseline="0">
                        <a:solidFill>
                          <a:schemeClr val="accent1">
                            <a:lumMod val="60000"/>
                            <a:lumOff val="40000"/>
                          </a:schemeClr>
                        </a:solidFill>
                      </a:rPr>
                      <a:t> </a:t>
                    </a:r>
                    <a:fld id="{BBB5120B-C68E-45E2-9DF5-AECB4E3C9696}" type="VALUE">
                      <a:rPr lang="en-US" baseline="0">
                        <a:solidFill>
                          <a:schemeClr val="accent1">
                            <a:lumMod val="60000"/>
                            <a:lumOff val="40000"/>
                          </a:schemeClr>
                        </a:solidFill>
                      </a:rPr>
                      <a:pPr>
                        <a:defRPr/>
                      </a:pPr>
                      <a:t>[VALUE]</a:t>
                    </a:fld>
                    <a:endParaRPr lang="en-US" baseline="0">
                      <a:solidFill>
                        <a:schemeClr val="accent1">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layout>
                    <c:manualLayout>
                      <c:w val="0.18247863247863244"/>
                      <c:h val="0.12892966215634655"/>
                    </c:manualLayout>
                  </c15:layout>
                  <c15:dlblFieldTable/>
                  <c15:showDataLabelsRange val="0"/>
                </c:ext>
                <c:ext xmlns:c16="http://schemas.microsoft.com/office/drawing/2014/chart" uri="{C3380CC4-5D6E-409C-BE32-E72D297353CC}">
                  <c16:uniqueId val="{00000001-FB16-47BB-B14C-615900A8E16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9AC4045-7867-4385-82ED-310E7D76C33B}" type="CATEGORYNAME">
                      <a:rPr lang="en-US">
                        <a:solidFill>
                          <a:schemeClr val="accent4">
                            <a:lumMod val="75000"/>
                          </a:schemeClr>
                        </a:solidFill>
                      </a:rPr>
                      <a:pPr>
                        <a:defRPr>
                          <a:solidFill>
                            <a:schemeClr val="accent1"/>
                          </a:solidFill>
                        </a:defRPr>
                      </a:pPr>
                      <a:t>[CATEGORY NAME]</a:t>
                    </a:fld>
                    <a:endParaRPr lang="en-US" baseline="0">
                      <a:solidFill>
                        <a:schemeClr val="accent4">
                          <a:lumMod val="75000"/>
                        </a:schemeClr>
                      </a:solidFill>
                    </a:endParaRPr>
                  </a:p>
                  <a:p>
                    <a:pPr>
                      <a:defRPr>
                        <a:solidFill>
                          <a:schemeClr val="accent1"/>
                        </a:solidFill>
                      </a:defRPr>
                    </a:pPr>
                    <a:fld id="{11076DBA-4813-450E-875C-B6D264398D64}" type="VALUE">
                      <a:rPr lang="en-US" baseline="0">
                        <a:solidFill>
                          <a:schemeClr val="accent4">
                            <a:lumMod val="75000"/>
                          </a:schemeClr>
                        </a:solidFill>
                      </a:rPr>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B16-47BB-B14C-615900A8E16B}"/>
                </c:ext>
              </c:extLst>
            </c:dLbl>
            <c:dLbl>
              <c:idx val="2"/>
              <c:layout>
                <c:manualLayout>
                  <c:x val="9.7844138263516456E-3"/>
                  <c:y val="3.3564811643749415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058FB388-ECF4-4BE3-96AC-C9610DCE6A86}" type="CATEGORYNAME">
                      <a:rPr lang="en-US">
                        <a:solidFill>
                          <a:schemeClr val="accent2">
                            <a:lumMod val="75000"/>
                          </a:schemeClr>
                        </a:solidFill>
                      </a:rPr>
                      <a:pPr>
                        <a:defRPr>
                          <a:solidFill>
                            <a:schemeClr val="accent1"/>
                          </a:solidFill>
                        </a:defRPr>
                      </a:pPr>
                      <a:t>[CATEGORY NAME]</a:t>
                    </a:fld>
                    <a:r>
                      <a:rPr lang="en-US" baseline="0">
                        <a:solidFill>
                          <a:schemeClr val="accent2">
                            <a:lumMod val="75000"/>
                          </a:schemeClr>
                        </a:solidFill>
                      </a:rPr>
                      <a:t> </a:t>
                    </a:r>
                  </a:p>
                  <a:p>
                    <a:pPr>
                      <a:defRPr>
                        <a:solidFill>
                          <a:schemeClr val="accent1"/>
                        </a:solidFill>
                      </a:defRPr>
                    </a:pPr>
                    <a:fld id="{D690D22D-8230-4060-A124-E3DA62F1F1FC}" type="VALUE">
                      <a:rPr lang="en-US" baseline="0">
                        <a:solidFill>
                          <a:schemeClr val="accent2">
                            <a:lumMod val="75000"/>
                          </a:schemeClr>
                        </a:solidFill>
                      </a:rPr>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6139999327007202"/>
                      <c:h val="0.1419263884890378"/>
                    </c:manualLayout>
                  </c15:layout>
                  <c15:dlblFieldTable/>
                  <c15:showDataLabelsRange val="0"/>
                </c:ext>
                <c:ext xmlns:c16="http://schemas.microsoft.com/office/drawing/2014/chart" uri="{C3380CC4-5D6E-409C-BE32-E72D297353CC}">
                  <c16:uniqueId val="{00000005-FB16-47BB-B14C-615900A8E16B}"/>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Sheet1!$A$85:$A$87</c:f>
              <c:strCache>
                <c:ptCount val="3"/>
                <c:pt idx="0">
                  <c:v>A (H1N1)pdm09</c:v>
                </c:pt>
                <c:pt idx="1">
                  <c:v>A (H3)</c:v>
                </c:pt>
                <c:pt idx="2">
                  <c:v>B (Victoria Lineage)</c:v>
                </c:pt>
              </c:strCache>
            </c:strRef>
          </c:cat>
          <c:val>
            <c:numRef>
              <c:f>Sheet1!$B$85:$B$87</c:f>
              <c:numCache>
                <c:formatCode>General</c:formatCode>
                <c:ptCount val="3"/>
                <c:pt idx="0">
                  <c:v>481</c:v>
                </c:pt>
                <c:pt idx="1">
                  <c:v>325</c:v>
                </c:pt>
                <c:pt idx="2">
                  <c:v>6</c:v>
                </c:pt>
              </c:numCache>
            </c:numRef>
          </c:val>
          <c:extLst>
            <c:ext xmlns:c16="http://schemas.microsoft.com/office/drawing/2014/chart" uri="{C3380CC4-5D6E-409C-BE32-E72D297353CC}">
              <c16:uniqueId val="{00000006-FB16-47BB-B14C-615900A8E16B}"/>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6</Pages>
  <Words>747</Words>
  <Characters>4263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24-25 RESP-Net Season Recap Newsletter</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RESP-Net Season Recap Newsletter</dc:title>
  <dc:subject/>
  <dc:creator>Bushey, Sophrena</dc:creator>
  <cp:keywords/>
  <dc:description/>
  <cp:lastModifiedBy>Youmell, Rebecca J</cp:lastModifiedBy>
  <cp:revision>2</cp:revision>
  <dcterms:created xsi:type="dcterms:W3CDTF">2026-05-26T13:44:00Z</dcterms:created>
  <dcterms:modified xsi:type="dcterms:W3CDTF">2026-05-26T13:44:00Z</dcterms:modified>
</cp:coreProperties>
</file>