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8F" w:rsidRPr="006F2269" w:rsidRDefault="00FC688A">
      <w:pPr>
        <w:rPr>
          <w:rFonts w:ascii="Arial" w:eastAsia="Times New Roman" w:hAnsi="Arial" w:cs="Arial"/>
          <w:b/>
          <w:bCs/>
          <w:i/>
          <w:kern w:val="36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kern w:val="36"/>
          <w:sz w:val="28"/>
          <w:szCs w:val="28"/>
          <w:u w:val="single"/>
        </w:rPr>
        <w:t xml:space="preserve">ALERT:  </w:t>
      </w:r>
      <w:r w:rsidR="00111F8F" w:rsidRPr="006F2269">
        <w:rPr>
          <w:rFonts w:ascii="Arial" w:eastAsia="Times New Roman" w:hAnsi="Arial" w:cs="Arial"/>
          <w:b/>
          <w:bCs/>
          <w:i/>
          <w:kern w:val="36"/>
          <w:sz w:val="28"/>
          <w:szCs w:val="28"/>
          <w:u w:val="single"/>
        </w:rPr>
        <w:t>New NIH Requirements for Research Grant Applications</w:t>
      </w:r>
    </w:p>
    <w:p w:rsidR="00111F8F" w:rsidRPr="00422BB8" w:rsidRDefault="00081B67" w:rsidP="006F2269">
      <w:pPr>
        <w:spacing w:line="240" w:lineRule="auto"/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</w:rPr>
      </w:pPr>
      <w:r w:rsidRPr="006F2269">
        <w:rPr>
          <w:rFonts w:ascii="Arial" w:eastAsia="Times New Roman" w:hAnsi="Arial" w:cs="Arial"/>
          <w:b/>
          <w:bCs/>
          <w:kern w:val="36"/>
          <w:sz w:val="24"/>
          <w:szCs w:val="24"/>
        </w:rPr>
        <w:t>What is this?</w:t>
      </w:r>
      <w:r w:rsidR="00111F8F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 </w:t>
      </w:r>
      <w:r w:rsidR="00111F8F">
        <w:rPr>
          <w:rFonts w:ascii="Arial" w:eastAsia="Times New Roman" w:hAnsi="Arial" w:cs="Arial"/>
          <w:bCs/>
          <w:kern w:val="36"/>
          <w:sz w:val="24"/>
          <w:szCs w:val="24"/>
        </w:rPr>
        <w:t xml:space="preserve">NIH has begun a new initiative designed to improve the rigor of experimental design in research, and to increase the reproducibility of scientific experiments.  Investigators will be </w:t>
      </w:r>
      <w:r w:rsidR="00111F8F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</w:rPr>
        <w:t>required</w:t>
      </w:r>
      <w:r w:rsidR="00111F8F">
        <w:rPr>
          <w:rFonts w:ascii="Arial" w:eastAsia="Times New Roman" w:hAnsi="Arial" w:cs="Arial"/>
          <w:bCs/>
          <w:kern w:val="36"/>
          <w:sz w:val="24"/>
          <w:szCs w:val="24"/>
        </w:rPr>
        <w:t xml:space="preserve"> to explicitly discuss and address three areas in the Research Plan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and add an </w:t>
      </w:r>
      <w:r w:rsidR="0040352A">
        <w:rPr>
          <w:rFonts w:ascii="Arial" w:eastAsia="Times New Roman" w:hAnsi="Arial" w:cs="Arial"/>
          <w:bCs/>
          <w:kern w:val="36"/>
          <w:sz w:val="24"/>
          <w:szCs w:val="24"/>
        </w:rPr>
        <w:t>attachment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40352A">
        <w:rPr>
          <w:rFonts w:ascii="Arial" w:eastAsia="Times New Roman" w:hAnsi="Arial" w:cs="Arial"/>
          <w:bCs/>
          <w:kern w:val="36"/>
          <w:sz w:val="24"/>
          <w:szCs w:val="24"/>
        </w:rPr>
        <w:t>addressing “</w:t>
      </w:r>
      <w:r w:rsidR="0040352A" w:rsidRPr="0040352A">
        <w:rPr>
          <w:rFonts w:ascii="Arial" w:eastAsia="Times New Roman" w:hAnsi="Arial" w:cs="Arial"/>
          <w:bCs/>
          <w:kern w:val="36"/>
          <w:sz w:val="24"/>
          <w:szCs w:val="24"/>
        </w:rPr>
        <w:t>Authentication of Key Biological and/or Chemical Resources</w:t>
      </w:r>
      <w:r w:rsidR="0040352A">
        <w:rPr>
          <w:rFonts w:ascii="Arial" w:eastAsia="Times New Roman" w:hAnsi="Arial" w:cs="Arial"/>
          <w:bCs/>
          <w:kern w:val="36"/>
          <w:sz w:val="24"/>
          <w:szCs w:val="24"/>
        </w:rPr>
        <w:t>”</w:t>
      </w:r>
      <w:r w:rsidR="0040352A" w:rsidRPr="0040352A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111F8F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422BB8">
        <w:rPr>
          <w:rFonts w:ascii="Arial" w:eastAsia="Times New Roman" w:hAnsi="Arial" w:cs="Arial"/>
          <w:b/>
          <w:bCs/>
          <w:i/>
          <w:kern w:val="36"/>
          <w:sz w:val="24"/>
          <w:szCs w:val="24"/>
          <w:u w:val="single"/>
        </w:rPr>
        <w:t>These changes will be explicitly included in the new Study Section proposal review and scoring criteria.</w:t>
      </w:r>
    </w:p>
    <w:p w:rsidR="00081B67" w:rsidRDefault="00081B67" w:rsidP="006F2269">
      <w:pPr>
        <w:spacing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F2269">
        <w:rPr>
          <w:rFonts w:ascii="Arial" w:eastAsia="Times New Roman" w:hAnsi="Arial" w:cs="Arial"/>
          <w:b/>
          <w:bCs/>
          <w:kern w:val="36"/>
          <w:sz w:val="24"/>
          <w:szCs w:val="24"/>
        </w:rPr>
        <w:t>Who is affected?</w:t>
      </w:r>
      <w:r w:rsidR="00111F8F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V</w:t>
      </w:r>
      <w:r w:rsidR="00111F8F">
        <w:rPr>
          <w:rFonts w:ascii="Arial" w:eastAsia="Times New Roman" w:hAnsi="Arial" w:cs="Arial"/>
          <w:bCs/>
          <w:kern w:val="36"/>
          <w:sz w:val="24"/>
          <w:szCs w:val="24"/>
        </w:rPr>
        <w:t>irtually all grant applications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u w:val="single"/>
        </w:rPr>
        <w:t>and annual progress reports</w:t>
      </w:r>
      <w:r w:rsidR="00111F8F">
        <w:rPr>
          <w:rFonts w:ascii="Arial" w:eastAsia="Times New Roman" w:hAnsi="Arial" w:cs="Arial"/>
          <w:bCs/>
          <w:kern w:val="36"/>
          <w:sz w:val="24"/>
          <w:szCs w:val="24"/>
        </w:rPr>
        <w:t>, including R01, R03, R21, and all K (career development awards)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will need to comply. </w:t>
      </w:r>
    </w:p>
    <w:p w:rsidR="00081B67" w:rsidRDefault="00081B67" w:rsidP="006F2269">
      <w:pPr>
        <w:spacing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F2269">
        <w:rPr>
          <w:rFonts w:ascii="Arial" w:eastAsia="Times New Roman" w:hAnsi="Arial" w:cs="Arial"/>
          <w:b/>
          <w:bCs/>
          <w:kern w:val="36"/>
          <w:sz w:val="24"/>
          <w:szCs w:val="24"/>
        </w:rPr>
        <w:t>When will this start?</w:t>
      </w:r>
      <w:r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 </w:t>
      </w:r>
      <w:r w:rsidR="00DC7227">
        <w:rPr>
          <w:rFonts w:ascii="Arial" w:eastAsia="Times New Roman" w:hAnsi="Arial" w:cs="Arial"/>
          <w:bCs/>
          <w:kern w:val="36"/>
          <w:sz w:val="24"/>
          <w:szCs w:val="24"/>
        </w:rPr>
        <w:t xml:space="preserve">Required for all grants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and progress reports due on or after January 25, 2016.</w:t>
      </w:r>
    </w:p>
    <w:p w:rsidR="0040352A" w:rsidRDefault="00081B67" w:rsidP="006F2269">
      <w:pPr>
        <w:spacing w:line="24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F2269">
        <w:rPr>
          <w:rFonts w:ascii="Arial" w:eastAsia="Times New Roman" w:hAnsi="Arial" w:cs="Arial"/>
          <w:b/>
          <w:bCs/>
          <w:kern w:val="36"/>
          <w:sz w:val="24"/>
          <w:szCs w:val="24"/>
        </w:rPr>
        <w:t>What do I need to do?</w:t>
      </w:r>
      <w:r w:rsidR="0040352A">
        <w:rPr>
          <w:rFonts w:ascii="Arial" w:eastAsia="Times New Roman" w:hAnsi="Arial" w:cs="Arial"/>
          <w:bCs/>
          <w:kern w:val="36"/>
          <w:sz w:val="24"/>
          <w:szCs w:val="24"/>
        </w:rPr>
        <w:t xml:space="preserve">  You need to explicitly include new infor</w:t>
      </w:r>
      <w:r w:rsidR="00DC7227">
        <w:rPr>
          <w:rFonts w:ascii="Arial" w:eastAsia="Times New Roman" w:hAnsi="Arial" w:cs="Arial"/>
          <w:bCs/>
          <w:kern w:val="36"/>
          <w:sz w:val="24"/>
          <w:szCs w:val="24"/>
        </w:rPr>
        <w:t xml:space="preserve">mation in </w:t>
      </w:r>
      <w:r w:rsidR="0040352A">
        <w:rPr>
          <w:rFonts w:ascii="Arial" w:eastAsia="Times New Roman" w:hAnsi="Arial" w:cs="Arial"/>
          <w:bCs/>
          <w:kern w:val="36"/>
          <w:sz w:val="24"/>
          <w:szCs w:val="24"/>
        </w:rPr>
        <w:t xml:space="preserve">the grant.  We recommend </w:t>
      </w:r>
      <w:r w:rsidR="005F7031">
        <w:rPr>
          <w:rFonts w:ascii="Arial" w:eastAsia="Times New Roman" w:hAnsi="Arial" w:cs="Arial"/>
          <w:bCs/>
          <w:kern w:val="36"/>
          <w:sz w:val="24"/>
          <w:szCs w:val="24"/>
        </w:rPr>
        <w:t>using specific language to highlight compliance and make it easy for reviewers to find:</w:t>
      </w:r>
    </w:p>
    <w:p w:rsidR="005F7031" w:rsidRDefault="005F7031" w:rsidP="006F2269">
      <w:p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7042AE">
        <w:rPr>
          <w:rFonts w:ascii="Arial" w:hAnsi="Arial" w:cs="Arial"/>
          <w:b/>
          <w:i/>
          <w:sz w:val="24"/>
          <w:szCs w:val="24"/>
        </w:rPr>
        <w:t>Significance</w:t>
      </w:r>
      <w:r w:rsidR="00FC688A">
        <w:rPr>
          <w:rFonts w:ascii="Arial" w:hAnsi="Arial" w:cs="Arial"/>
          <w:b/>
          <w:i/>
          <w:sz w:val="24"/>
          <w:szCs w:val="24"/>
        </w:rPr>
        <w:t xml:space="preserve"> section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5F7031" w:rsidRPr="00CD4DDC" w:rsidRDefault="005F7031" w:rsidP="006F22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F7031">
        <w:rPr>
          <w:rFonts w:ascii="Arial" w:hAnsi="Arial" w:cs="Arial"/>
          <w:sz w:val="24"/>
          <w:szCs w:val="24"/>
        </w:rPr>
        <w:t xml:space="preserve">Explicitly state the </w:t>
      </w:r>
      <w:r w:rsidRPr="005F7031">
        <w:rPr>
          <w:rFonts w:ascii="Arial" w:hAnsi="Arial" w:cs="Arial"/>
          <w:i/>
          <w:sz w:val="24"/>
          <w:szCs w:val="24"/>
          <w:u w:val="single"/>
        </w:rPr>
        <w:t>scientific premise</w:t>
      </w:r>
      <w:r>
        <w:rPr>
          <w:rFonts w:ascii="Arial" w:hAnsi="Arial" w:cs="Arial"/>
          <w:sz w:val="24"/>
          <w:szCs w:val="24"/>
        </w:rPr>
        <w:t xml:space="preserve"> for the proposed project.  We recommend starting the Significance section of your grant application with a paragraph or subsection entitled “Scientific Premise</w:t>
      </w:r>
      <w:r w:rsidR="00DC7227">
        <w:rPr>
          <w:rFonts w:ascii="Arial" w:hAnsi="Arial" w:cs="Arial"/>
          <w:sz w:val="24"/>
          <w:szCs w:val="24"/>
        </w:rPr>
        <w:t xml:space="preserve"> and Hypothesis</w:t>
      </w:r>
      <w:r>
        <w:rPr>
          <w:rFonts w:ascii="Arial" w:hAnsi="Arial" w:cs="Arial"/>
          <w:sz w:val="24"/>
          <w:szCs w:val="24"/>
        </w:rPr>
        <w:t xml:space="preserve">”. </w:t>
      </w:r>
      <w:r w:rsidR="00CD4DDC">
        <w:rPr>
          <w:rFonts w:ascii="Arial" w:hAnsi="Arial" w:cs="Arial"/>
          <w:sz w:val="24"/>
          <w:szCs w:val="24"/>
        </w:rPr>
        <w:t>This separate</w:t>
      </w:r>
      <w:r w:rsidR="00DC7227">
        <w:rPr>
          <w:rFonts w:ascii="Arial" w:hAnsi="Arial" w:cs="Arial"/>
          <w:sz w:val="24"/>
          <w:szCs w:val="24"/>
        </w:rPr>
        <w:t xml:space="preserve">s the premise </w:t>
      </w:r>
      <w:r w:rsidR="00D01581">
        <w:rPr>
          <w:rFonts w:ascii="Arial" w:hAnsi="Arial" w:cs="Arial"/>
          <w:sz w:val="24"/>
          <w:szCs w:val="24"/>
        </w:rPr>
        <w:t>f</w:t>
      </w:r>
      <w:r w:rsidR="00CD4DDC">
        <w:rPr>
          <w:rFonts w:ascii="Arial" w:hAnsi="Arial" w:cs="Arial"/>
          <w:sz w:val="24"/>
          <w:szCs w:val="24"/>
        </w:rPr>
        <w:t>rom the hypothesis your grant is trying to address</w:t>
      </w:r>
      <w:r w:rsidR="00801FAF">
        <w:rPr>
          <w:rFonts w:ascii="Arial" w:hAnsi="Arial" w:cs="Arial"/>
          <w:sz w:val="24"/>
          <w:szCs w:val="24"/>
        </w:rPr>
        <w:t>; the premise leads to the hypothesis.</w:t>
      </w:r>
    </w:p>
    <w:p w:rsidR="00CD4DDC" w:rsidRPr="00801FAF" w:rsidRDefault="00CD4DDC" w:rsidP="006F226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01FAF">
        <w:rPr>
          <w:rFonts w:ascii="Arial" w:hAnsi="Arial" w:cs="Arial"/>
          <w:b/>
          <w:i/>
          <w:sz w:val="24"/>
          <w:szCs w:val="24"/>
        </w:rPr>
        <w:t>Premise</w:t>
      </w:r>
      <w:r w:rsidRPr="00801FAF">
        <w:rPr>
          <w:rFonts w:ascii="Arial" w:hAnsi="Arial" w:cs="Arial"/>
          <w:i/>
          <w:sz w:val="24"/>
          <w:szCs w:val="24"/>
        </w:rPr>
        <w:t>: a condition on which a logical argument is based.</w:t>
      </w:r>
    </w:p>
    <w:p w:rsidR="00CD4DDC" w:rsidRPr="00801FAF" w:rsidRDefault="00CD4DDC" w:rsidP="006F226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01FAF">
        <w:rPr>
          <w:rFonts w:ascii="Arial" w:hAnsi="Arial" w:cs="Arial"/>
          <w:b/>
          <w:i/>
          <w:sz w:val="24"/>
          <w:szCs w:val="24"/>
        </w:rPr>
        <w:t>Hypothesis:</w:t>
      </w:r>
      <w:r w:rsidRPr="00801FAF">
        <w:rPr>
          <w:rFonts w:ascii="Arial" w:hAnsi="Arial" w:cs="Arial"/>
          <w:i/>
          <w:sz w:val="24"/>
          <w:szCs w:val="24"/>
        </w:rPr>
        <w:t xml:space="preserve"> a plausible conjecture </w:t>
      </w:r>
      <w:r w:rsidR="00422BB8">
        <w:rPr>
          <w:rFonts w:ascii="Arial" w:hAnsi="Arial" w:cs="Arial"/>
          <w:i/>
          <w:sz w:val="24"/>
          <w:szCs w:val="24"/>
        </w:rPr>
        <w:t xml:space="preserve">to be proved or disproved by </w:t>
      </w:r>
      <w:r w:rsidRPr="00801FAF">
        <w:rPr>
          <w:rFonts w:ascii="Arial" w:hAnsi="Arial" w:cs="Arial"/>
          <w:i/>
          <w:sz w:val="24"/>
          <w:szCs w:val="24"/>
        </w:rPr>
        <w:t>experimentation.</w:t>
      </w:r>
    </w:p>
    <w:p w:rsidR="005F7031" w:rsidRPr="005F7031" w:rsidRDefault="005F7031" w:rsidP="006F22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Explicitly discuss</w:t>
      </w:r>
      <w:r w:rsidRPr="005F7031">
        <w:rPr>
          <w:rFonts w:ascii="Arial" w:hAnsi="Arial" w:cs="Arial"/>
          <w:i/>
          <w:sz w:val="24"/>
          <w:szCs w:val="24"/>
        </w:rPr>
        <w:t xml:space="preserve"> </w:t>
      </w:r>
      <w:r w:rsidRPr="005F7031">
        <w:rPr>
          <w:rFonts w:ascii="Arial" w:hAnsi="Arial" w:cs="Arial"/>
          <w:i/>
          <w:sz w:val="24"/>
          <w:szCs w:val="24"/>
          <w:u w:val="single"/>
        </w:rPr>
        <w:t>the strengths and weaknesses</w:t>
      </w:r>
      <w:r w:rsidRPr="005F7031">
        <w:rPr>
          <w:rFonts w:ascii="Arial" w:hAnsi="Arial" w:cs="Arial"/>
          <w:sz w:val="24"/>
          <w:szCs w:val="24"/>
        </w:rPr>
        <w:t xml:space="preserve"> of published research or preliminary data crucial to the support of your application.  </w:t>
      </w:r>
      <w:r w:rsidR="00CD4DDC">
        <w:rPr>
          <w:rFonts w:ascii="Arial" w:hAnsi="Arial" w:cs="Arial"/>
          <w:sz w:val="24"/>
          <w:szCs w:val="24"/>
        </w:rPr>
        <w:t>Consider a separate section in the Significance entitled “Strengths and Weakness of Supporting Data” or, alternatively, a 1-3 sentence appraisal of the data at the end of each section where it is presented.</w:t>
      </w:r>
    </w:p>
    <w:p w:rsidR="00396034" w:rsidRDefault="00396034" w:rsidP="006F22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7031" w:rsidRPr="007042AE" w:rsidRDefault="005F7031" w:rsidP="006F2269">
      <w:p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7042AE">
        <w:rPr>
          <w:rFonts w:ascii="Arial" w:hAnsi="Arial" w:cs="Arial"/>
          <w:b/>
          <w:i/>
          <w:sz w:val="24"/>
          <w:szCs w:val="24"/>
        </w:rPr>
        <w:t>Approach</w:t>
      </w:r>
      <w:r w:rsidR="00FC688A">
        <w:rPr>
          <w:rFonts w:ascii="Arial" w:hAnsi="Arial" w:cs="Arial"/>
          <w:b/>
          <w:i/>
          <w:sz w:val="24"/>
          <w:szCs w:val="24"/>
        </w:rPr>
        <w:t xml:space="preserve"> section</w:t>
      </w:r>
      <w:r w:rsidR="00396034">
        <w:rPr>
          <w:rFonts w:ascii="Arial" w:hAnsi="Arial" w:cs="Arial"/>
          <w:b/>
          <w:i/>
          <w:sz w:val="24"/>
          <w:szCs w:val="24"/>
        </w:rPr>
        <w:t>:</w:t>
      </w:r>
    </w:p>
    <w:p w:rsidR="00396034" w:rsidRDefault="005F7031" w:rsidP="006F22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034">
        <w:rPr>
          <w:rFonts w:ascii="Arial" w:hAnsi="Arial" w:cs="Arial"/>
          <w:sz w:val="24"/>
          <w:szCs w:val="24"/>
        </w:rPr>
        <w:t xml:space="preserve">Describe the experimental design and methods proposed and how they will achieve </w:t>
      </w:r>
      <w:r w:rsidRPr="00396034">
        <w:rPr>
          <w:rFonts w:ascii="Arial" w:hAnsi="Arial" w:cs="Arial"/>
          <w:i/>
          <w:sz w:val="24"/>
          <w:szCs w:val="24"/>
          <w:u w:val="single"/>
        </w:rPr>
        <w:t>robust and unbiased</w:t>
      </w:r>
      <w:r w:rsidRPr="00396034">
        <w:rPr>
          <w:rFonts w:ascii="Arial" w:hAnsi="Arial" w:cs="Arial"/>
          <w:sz w:val="24"/>
          <w:szCs w:val="24"/>
        </w:rPr>
        <w:t xml:space="preserve"> results. </w:t>
      </w:r>
    </w:p>
    <w:p w:rsidR="006F2269" w:rsidRDefault="006F2269" w:rsidP="006F22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2269">
        <w:rPr>
          <w:rFonts w:ascii="Arial" w:hAnsi="Arial" w:cs="Arial"/>
          <w:sz w:val="24"/>
          <w:szCs w:val="24"/>
        </w:rPr>
        <w:t xml:space="preserve">NIH </w:t>
      </w:r>
      <w:r w:rsidRPr="006F2269">
        <w:rPr>
          <w:rFonts w:ascii="Arial" w:hAnsi="Arial" w:cs="Arial"/>
          <w:i/>
          <w:sz w:val="24"/>
          <w:szCs w:val="24"/>
          <w:u w:val="single"/>
        </w:rPr>
        <w:t>expects</w:t>
      </w:r>
      <w:r w:rsidRPr="006F2269">
        <w:rPr>
          <w:rFonts w:ascii="Arial" w:hAnsi="Arial" w:cs="Arial"/>
          <w:sz w:val="24"/>
          <w:szCs w:val="24"/>
        </w:rPr>
        <w:t xml:space="preserve"> that sex as a biological variable will be factored into research designs, analyses, and reporting in vertebrate animal and human studies.</w:t>
      </w:r>
    </w:p>
    <w:p w:rsidR="005F7031" w:rsidRPr="00396034" w:rsidRDefault="005F7031" w:rsidP="006F22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034">
        <w:rPr>
          <w:rFonts w:ascii="Arial" w:hAnsi="Arial" w:cs="Arial"/>
          <w:sz w:val="24"/>
          <w:szCs w:val="24"/>
        </w:rPr>
        <w:t xml:space="preserve">Explain how relevant biological variables are factored into research designs and analyses for studies in vertebrate animals and humans. </w:t>
      </w:r>
      <w:r w:rsidR="00396034">
        <w:rPr>
          <w:rFonts w:ascii="Arial" w:hAnsi="Arial" w:cs="Arial"/>
          <w:sz w:val="24"/>
          <w:szCs w:val="24"/>
        </w:rPr>
        <w:t>(</w:t>
      </w:r>
      <w:proofErr w:type="gramStart"/>
      <w:r w:rsidR="00396034">
        <w:rPr>
          <w:rFonts w:ascii="Arial" w:hAnsi="Arial" w:cs="Arial"/>
          <w:sz w:val="24"/>
          <w:szCs w:val="24"/>
        </w:rPr>
        <w:t>e.g</w:t>
      </w:r>
      <w:proofErr w:type="gramEnd"/>
      <w:r w:rsidR="00396034">
        <w:rPr>
          <w:rFonts w:ascii="Arial" w:hAnsi="Arial" w:cs="Arial"/>
          <w:sz w:val="24"/>
          <w:szCs w:val="24"/>
        </w:rPr>
        <w:t xml:space="preserve">. </w:t>
      </w:r>
      <w:r w:rsidRPr="00396034">
        <w:rPr>
          <w:rFonts w:ascii="Arial" w:hAnsi="Arial" w:cs="Arial"/>
          <w:sz w:val="24"/>
          <w:szCs w:val="24"/>
        </w:rPr>
        <w:t xml:space="preserve">strong justification from the </w:t>
      </w:r>
      <w:r w:rsidR="006F2269">
        <w:rPr>
          <w:rFonts w:ascii="Arial" w:hAnsi="Arial" w:cs="Arial"/>
          <w:sz w:val="24"/>
          <w:szCs w:val="24"/>
        </w:rPr>
        <w:t>literature or</w:t>
      </w:r>
      <w:r w:rsidRPr="00396034">
        <w:rPr>
          <w:rFonts w:ascii="Arial" w:hAnsi="Arial" w:cs="Arial"/>
          <w:sz w:val="24"/>
          <w:szCs w:val="24"/>
        </w:rPr>
        <w:t xml:space="preserve"> preliminary data must be provided for study</w:t>
      </w:r>
      <w:r w:rsidR="00396034">
        <w:rPr>
          <w:rFonts w:ascii="Arial" w:hAnsi="Arial" w:cs="Arial"/>
          <w:sz w:val="24"/>
          <w:szCs w:val="24"/>
        </w:rPr>
        <w:t>ing</w:t>
      </w:r>
      <w:r w:rsidRPr="00396034">
        <w:rPr>
          <w:rFonts w:ascii="Arial" w:hAnsi="Arial" w:cs="Arial"/>
          <w:sz w:val="24"/>
          <w:szCs w:val="24"/>
        </w:rPr>
        <w:t xml:space="preserve"> only </w:t>
      </w:r>
      <w:r w:rsidR="00396034">
        <w:rPr>
          <w:rFonts w:ascii="Arial" w:hAnsi="Arial" w:cs="Arial"/>
          <w:sz w:val="24"/>
          <w:szCs w:val="24"/>
        </w:rPr>
        <w:t>female mice</w:t>
      </w:r>
      <w:r w:rsidRPr="00396034">
        <w:rPr>
          <w:rFonts w:ascii="Arial" w:hAnsi="Arial" w:cs="Arial"/>
          <w:sz w:val="24"/>
          <w:szCs w:val="24"/>
        </w:rPr>
        <w:t>.</w:t>
      </w:r>
      <w:r w:rsidR="006F2269">
        <w:rPr>
          <w:rFonts w:ascii="Arial" w:hAnsi="Arial" w:cs="Arial"/>
          <w:sz w:val="24"/>
          <w:szCs w:val="24"/>
        </w:rPr>
        <w:t>)</w:t>
      </w:r>
    </w:p>
    <w:p w:rsidR="006F2269" w:rsidRDefault="006F2269" w:rsidP="006F2269">
      <w:pPr>
        <w:spacing w:after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6F2269" w:rsidRPr="007042AE" w:rsidRDefault="006F2269" w:rsidP="006F2269">
      <w:p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476291">
        <w:rPr>
          <w:rFonts w:ascii="Arial" w:hAnsi="Arial" w:cs="Arial"/>
          <w:b/>
          <w:sz w:val="24"/>
          <w:szCs w:val="24"/>
        </w:rPr>
        <w:t>Authentication of Key Biological and/or Chemical Resources</w:t>
      </w:r>
      <w:r>
        <w:rPr>
          <w:rFonts w:ascii="Arial" w:hAnsi="Arial" w:cs="Arial"/>
          <w:b/>
          <w:sz w:val="24"/>
          <w:szCs w:val="24"/>
        </w:rPr>
        <w:t xml:space="preserve"> (NEW Attachment)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FC688A" w:rsidRPr="00FC688A" w:rsidRDefault="00FC688A" w:rsidP="00FC688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C688A">
        <w:rPr>
          <w:rFonts w:ascii="Arial" w:hAnsi="Arial" w:cs="Arial"/>
          <w:sz w:val="24"/>
          <w:szCs w:val="24"/>
        </w:rPr>
        <w:t xml:space="preserve">riefly describe methods to ensure the identity and validity of key biological </w:t>
      </w:r>
      <w:r w:rsidR="00DC7227">
        <w:rPr>
          <w:rFonts w:ascii="Arial" w:hAnsi="Arial" w:cs="Arial"/>
          <w:sz w:val="24"/>
          <w:szCs w:val="24"/>
        </w:rPr>
        <w:t>and</w:t>
      </w:r>
      <w:r w:rsidRPr="00FC688A">
        <w:rPr>
          <w:rFonts w:ascii="Arial" w:hAnsi="Arial" w:cs="Arial"/>
          <w:sz w:val="24"/>
          <w:szCs w:val="24"/>
        </w:rPr>
        <w:t xml:space="preserve"> chemical </w:t>
      </w:r>
      <w:r w:rsidR="00DC7227">
        <w:rPr>
          <w:rFonts w:ascii="Arial" w:hAnsi="Arial" w:cs="Arial"/>
          <w:sz w:val="24"/>
          <w:szCs w:val="24"/>
        </w:rPr>
        <w:t>reagents</w:t>
      </w:r>
      <w:r w:rsidRPr="00FC688A">
        <w:rPr>
          <w:rFonts w:ascii="Arial" w:hAnsi="Arial" w:cs="Arial"/>
          <w:sz w:val="24"/>
          <w:szCs w:val="24"/>
        </w:rPr>
        <w:t xml:space="preserve"> used in the proposed studies. </w:t>
      </w:r>
      <w:r w:rsidR="00DC7227">
        <w:rPr>
          <w:rFonts w:ascii="Arial" w:hAnsi="Arial" w:cs="Arial"/>
          <w:bCs/>
          <w:iCs/>
          <w:sz w:val="24"/>
          <w:szCs w:val="24"/>
        </w:rPr>
        <w:t xml:space="preserve">These </w:t>
      </w:r>
      <w:r w:rsidRPr="00FC688A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</w:t>
      </w:r>
      <w:r w:rsidRPr="00FC688A">
        <w:rPr>
          <w:rFonts w:ascii="Arial" w:hAnsi="Arial" w:cs="Arial"/>
          <w:sz w:val="24"/>
          <w:szCs w:val="24"/>
        </w:rPr>
        <w:t>cell lines, specialty chemicals, a</w:t>
      </w:r>
      <w:r w:rsidR="00DC7227">
        <w:rPr>
          <w:rFonts w:ascii="Arial" w:hAnsi="Arial" w:cs="Arial"/>
          <w:sz w:val="24"/>
          <w:szCs w:val="24"/>
        </w:rPr>
        <w:t>ntibodies and other biologics. Do not include s</w:t>
      </w:r>
      <w:r w:rsidRPr="00FC688A">
        <w:rPr>
          <w:rFonts w:ascii="Arial" w:hAnsi="Arial" w:cs="Arial"/>
          <w:sz w:val="24"/>
          <w:szCs w:val="24"/>
        </w:rPr>
        <w:t xml:space="preserve">tandard reagents </w:t>
      </w:r>
      <w:r>
        <w:rPr>
          <w:rFonts w:ascii="Arial" w:hAnsi="Arial" w:cs="Arial"/>
          <w:sz w:val="24"/>
          <w:szCs w:val="24"/>
        </w:rPr>
        <w:t>(e.g. buffers, solvents)</w:t>
      </w:r>
      <w:r w:rsidRPr="00FC688A">
        <w:rPr>
          <w:rFonts w:ascii="Arial" w:hAnsi="Arial" w:cs="Arial"/>
          <w:sz w:val="24"/>
          <w:szCs w:val="24"/>
        </w:rPr>
        <w:t xml:space="preserve">. </w:t>
      </w:r>
    </w:p>
    <w:p w:rsidR="006F2269" w:rsidRDefault="00FC688A" w:rsidP="006F226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6291">
        <w:rPr>
          <w:rFonts w:ascii="Arial" w:hAnsi="Arial" w:cs="Arial"/>
          <w:sz w:val="24"/>
          <w:szCs w:val="24"/>
        </w:rPr>
        <w:t>Information in this section mu</w:t>
      </w:r>
      <w:r w:rsidR="00DC7227">
        <w:rPr>
          <w:rFonts w:ascii="Arial" w:hAnsi="Arial" w:cs="Arial"/>
          <w:sz w:val="24"/>
          <w:szCs w:val="24"/>
        </w:rPr>
        <w:t>st focus only on authentication/</w:t>
      </w:r>
      <w:r w:rsidRPr="00476291">
        <w:rPr>
          <w:rFonts w:ascii="Arial" w:hAnsi="Arial" w:cs="Arial"/>
          <w:sz w:val="24"/>
          <w:szCs w:val="24"/>
        </w:rPr>
        <w:t xml:space="preserve">validation of key resources used in the study; all other methods and preliminary data must be included within the page limits of the research strategy. </w:t>
      </w:r>
      <w:r w:rsidRPr="00DC7227">
        <w:rPr>
          <w:rFonts w:ascii="Arial" w:hAnsi="Arial" w:cs="Arial"/>
          <w:b/>
          <w:i/>
          <w:sz w:val="24"/>
          <w:szCs w:val="24"/>
          <w:u w:val="single"/>
        </w:rPr>
        <w:t>Applications identified as non-compliant with this limitation will be withdrawn from the review process.</w:t>
      </w:r>
    </w:p>
    <w:p w:rsidR="006F2269" w:rsidRDefault="006F2269" w:rsidP="006F2269">
      <w:pPr>
        <w:spacing w:after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111F8F" w:rsidRDefault="006F2269" w:rsidP="006F22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2269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</w:rPr>
        <w:t>Where can I get more information?</w:t>
      </w:r>
      <w:r w:rsidRPr="006F2269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 </w:t>
      </w:r>
      <w:r w:rsidRPr="006F2269">
        <w:rPr>
          <w:rFonts w:ascii="Arial" w:eastAsia="Times New Roman" w:hAnsi="Arial" w:cs="Arial"/>
          <w:sz w:val="24"/>
          <w:szCs w:val="24"/>
        </w:rPr>
        <w:t>NIH has published notices outlining updates to instructions for applications</w:t>
      </w:r>
      <w:r w:rsidR="00DC7227">
        <w:rPr>
          <w:rFonts w:ascii="Arial" w:eastAsia="Times New Roman" w:hAnsi="Arial" w:cs="Arial"/>
          <w:sz w:val="24"/>
          <w:szCs w:val="24"/>
        </w:rPr>
        <w:t>:  Overview</w:t>
      </w:r>
      <w:r w:rsidRPr="006F2269">
        <w:rPr>
          <w:rFonts w:ascii="Arial" w:eastAsia="Times New Roman" w:hAnsi="Arial" w:cs="Arial"/>
          <w:sz w:val="24"/>
          <w:szCs w:val="24"/>
        </w:rPr>
        <w:t xml:space="preserve"> (</w:t>
      </w:r>
      <w:hyperlink r:id="rId8" w:history="1">
        <w:r w:rsidRPr="006F2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NOT-OD-16-004</w:t>
        </w:r>
      </w:hyperlink>
      <w:r w:rsidRPr="006F2269">
        <w:rPr>
          <w:rFonts w:ascii="Arial" w:eastAsia="Times New Roman" w:hAnsi="Arial" w:cs="Arial"/>
          <w:sz w:val="24"/>
          <w:szCs w:val="24"/>
        </w:rPr>
        <w:t>), details on Implementing Rigor and Transparency in NIH &amp; AHRQ Research Grant Applications (</w:t>
      </w:r>
      <w:hyperlink r:id="rId9" w:history="1">
        <w:r w:rsidRPr="006F2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NOT-OD-16-011</w:t>
        </w:r>
      </w:hyperlink>
      <w:r w:rsidRPr="006F2269">
        <w:rPr>
          <w:rFonts w:ascii="Arial" w:eastAsia="Times New Roman" w:hAnsi="Arial" w:cs="Arial"/>
          <w:sz w:val="24"/>
          <w:szCs w:val="24"/>
        </w:rPr>
        <w:t>) and Implementing Rigor and Transparency in NIH &amp; AHRQ Career Development Award Applications (</w:t>
      </w:r>
      <w:hyperlink r:id="rId10" w:history="1">
        <w:r w:rsidRPr="006F2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NOT-OD-16-012</w:t>
        </w:r>
      </w:hyperlink>
      <w:r w:rsidR="00422BB8">
        <w:rPr>
          <w:rFonts w:ascii="Arial" w:eastAsia="Times New Roman" w:hAnsi="Arial" w:cs="Arial"/>
          <w:sz w:val="24"/>
          <w:szCs w:val="24"/>
        </w:rPr>
        <w:t>.</w:t>
      </w:r>
    </w:p>
    <w:p w:rsidR="0074036D" w:rsidRPr="00476291" w:rsidRDefault="0074036D" w:rsidP="00E20E5D">
      <w:pPr>
        <w:rPr>
          <w:rFonts w:ascii="Arial" w:hAnsi="Arial" w:cs="Arial"/>
          <w:sz w:val="24"/>
          <w:szCs w:val="24"/>
        </w:rPr>
      </w:pPr>
    </w:p>
    <w:sectPr w:rsidR="0074036D" w:rsidRPr="00476291" w:rsidSect="006F2269">
      <w:footerReference w:type="default" r:id="rId11"/>
      <w:pgSz w:w="12240" w:h="15840"/>
      <w:pgMar w:top="810" w:right="720" w:bottom="900" w:left="72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27" w:rsidRDefault="00DC7227" w:rsidP="006B53BB">
      <w:pPr>
        <w:spacing w:after="0" w:line="240" w:lineRule="auto"/>
      </w:pPr>
      <w:r>
        <w:separator/>
      </w:r>
    </w:p>
  </w:endnote>
  <w:endnote w:type="continuationSeparator" w:id="0">
    <w:p w:rsidR="00DC7227" w:rsidRDefault="00DC7227" w:rsidP="006B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4472"/>
    </w:tblGrid>
    <w:tr w:rsidR="00DC7227" w:rsidRPr="007F4AEB" w:rsidTr="007F4AEB">
      <w:tc>
        <w:tcPr>
          <w:tcW w:w="5104" w:type="dxa"/>
        </w:tcPr>
        <w:p w:rsidR="00DC7227" w:rsidRPr="007F4AEB" w:rsidRDefault="00DC7227" w:rsidP="00111F8F">
          <w:pPr>
            <w:pStyle w:val="Footer"/>
            <w:rPr>
              <w:b/>
              <w:sz w:val="6"/>
            </w:rPr>
          </w:pPr>
          <w:r w:rsidRPr="007F4AEB">
            <w:rPr>
              <w:rFonts w:ascii="Arial" w:eastAsia="Times New Roman" w:hAnsi="Arial" w:cs="Arial"/>
              <w:b/>
              <w:bCs/>
              <w:kern w:val="36"/>
              <w:sz w:val="16"/>
              <w:szCs w:val="40"/>
            </w:rPr>
            <w:t>Rigor and Reproducibility in the Research Plan</w:t>
          </w:r>
        </w:p>
      </w:tc>
      <w:tc>
        <w:tcPr>
          <w:tcW w:w="4472" w:type="dxa"/>
        </w:tcPr>
        <w:p w:rsidR="00DC7227" w:rsidRPr="007F4AEB" w:rsidRDefault="00500E7F" w:rsidP="007F4AEB">
          <w:pPr>
            <w:pStyle w:val="Footer"/>
            <w:jc w:val="right"/>
            <w:rPr>
              <w:rFonts w:ascii="Arial" w:eastAsia="Times New Roman" w:hAnsi="Arial" w:cs="Arial"/>
              <w:b/>
              <w:bCs/>
              <w:kern w:val="36"/>
              <w:sz w:val="16"/>
              <w:szCs w:val="40"/>
            </w:rPr>
          </w:pPr>
          <w:r>
            <w:rPr>
              <w:rFonts w:ascii="Arial" w:eastAsia="Times New Roman" w:hAnsi="Arial" w:cs="Arial"/>
              <w:b/>
              <w:bCs/>
              <w:kern w:val="36"/>
              <w:sz w:val="16"/>
              <w:szCs w:val="40"/>
            </w:rPr>
            <w:t>October 30</w:t>
          </w:r>
          <w:r w:rsidR="00DC7227">
            <w:rPr>
              <w:rFonts w:ascii="Arial" w:eastAsia="Times New Roman" w:hAnsi="Arial" w:cs="Arial"/>
              <w:b/>
              <w:bCs/>
              <w:kern w:val="36"/>
              <w:sz w:val="16"/>
              <w:szCs w:val="40"/>
            </w:rPr>
            <w:t>, 2015</w:t>
          </w:r>
        </w:p>
      </w:tc>
    </w:tr>
  </w:tbl>
  <w:p w:rsidR="00DC7227" w:rsidRPr="007F4AEB" w:rsidRDefault="00DC7227">
    <w:pPr>
      <w:pStyle w:val="Footer"/>
      <w:rPr>
        <w:b/>
        <w:sz w:val="6"/>
      </w:rPr>
    </w:pPr>
  </w:p>
  <w:p w:rsidR="00DC7227" w:rsidRDefault="00DC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27" w:rsidRDefault="00DC7227" w:rsidP="006B53BB">
      <w:pPr>
        <w:spacing w:after="0" w:line="240" w:lineRule="auto"/>
      </w:pPr>
      <w:r>
        <w:separator/>
      </w:r>
    </w:p>
  </w:footnote>
  <w:footnote w:type="continuationSeparator" w:id="0">
    <w:p w:rsidR="00DC7227" w:rsidRDefault="00DC7227" w:rsidP="006B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D8E"/>
    <w:multiLevelType w:val="hybridMultilevel"/>
    <w:tmpl w:val="B79E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E7D"/>
    <w:multiLevelType w:val="multilevel"/>
    <w:tmpl w:val="B9A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414C"/>
    <w:multiLevelType w:val="multilevel"/>
    <w:tmpl w:val="921C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C3224B3"/>
    <w:multiLevelType w:val="multilevel"/>
    <w:tmpl w:val="536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A4FFC"/>
    <w:multiLevelType w:val="multilevel"/>
    <w:tmpl w:val="72CA1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357664"/>
    <w:multiLevelType w:val="hybridMultilevel"/>
    <w:tmpl w:val="69E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14CBD"/>
    <w:multiLevelType w:val="hybridMultilevel"/>
    <w:tmpl w:val="784C69C8"/>
    <w:lvl w:ilvl="0" w:tplc="0409000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96"/>
    <w:rsid w:val="000244F1"/>
    <w:rsid w:val="00026F31"/>
    <w:rsid w:val="00081B67"/>
    <w:rsid w:val="00111F8F"/>
    <w:rsid w:val="002B0369"/>
    <w:rsid w:val="003052AC"/>
    <w:rsid w:val="00396034"/>
    <w:rsid w:val="0040352A"/>
    <w:rsid w:val="00422BB8"/>
    <w:rsid w:val="00476291"/>
    <w:rsid w:val="00500E7F"/>
    <w:rsid w:val="005F7031"/>
    <w:rsid w:val="00680D96"/>
    <w:rsid w:val="006B53BB"/>
    <w:rsid w:val="006F2269"/>
    <w:rsid w:val="007042AE"/>
    <w:rsid w:val="0074036D"/>
    <w:rsid w:val="007D3E6F"/>
    <w:rsid w:val="007D5A5D"/>
    <w:rsid w:val="007F4AEB"/>
    <w:rsid w:val="00801FAF"/>
    <w:rsid w:val="00B70F46"/>
    <w:rsid w:val="00BE0090"/>
    <w:rsid w:val="00BE5972"/>
    <w:rsid w:val="00C829EB"/>
    <w:rsid w:val="00CD4DDC"/>
    <w:rsid w:val="00D01581"/>
    <w:rsid w:val="00DC7227"/>
    <w:rsid w:val="00E20E5D"/>
    <w:rsid w:val="00F866B5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0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D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D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0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BB"/>
  </w:style>
  <w:style w:type="paragraph" w:styleId="Footer">
    <w:name w:val="footer"/>
    <w:basedOn w:val="Normal"/>
    <w:link w:val="FooterChar"/>
    <w:uiPriority w:val="99"/>
    <w:unhideWhenUsed/>
    <w:rsid w:val="006B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BB"/>
  </w:style>
  <w:style w:type="paragraph" w:styleId="BalloonText">
    <w:name w:val="Balloon Text"/>
    <w:basedOn w:val="Normal"/>
    <w:link w:val="BalloonTextChar"/>
    <w:uiPriority w:val="99"/>
    <w:semiHidden/>
    <w:unhideWhenUsed/>
    <w:rsid w:val="006B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0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D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D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0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BB"/>
  </w:style>
  <w:style w:type="paragraph" w:styleId="Footer">
    <w:name w:val="footer"/>
    <w:basedOn w:val="Normal"/>
    <w:link w:val="FooterChar"/>
    <w:uiPriority w:val="99"/>
    <w:unhideWhenUsed/>
    <w:rsid w:val="006B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BB"/>
  </w:style>
  <w:style w:type="paragraph" w:styleId="BalloonText">
    <w:name w:val="Balloon Text"/>
    <w:basedOn w:val="Normal"/>
    <w:link w:val="BalloonTextChar"/>
    <w:uiPriority w:val="99"/>
    <w:semiHidden/>
    <w:unhideWhenUsed/>
    <w:rsid w:val="006B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notice-files/NOT-OD-16-00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rants.nih.gov/grants/guide/notice-files/NOT-OD-16-0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guide/notice-files/NOT-OD-16-0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Dykes, Carrie</dc:creator>
  <cp:lastModifiedBy>Libby, Katherine</cp:lastModifiedBy>
  <cp:revision>2</cp:revision>
  <dcterms:created xsi:type="dcterms:W3CDTF">2016-02-05T15:05:00Z</dcterms:created>
  <dcterms:modified xsi:type="dcterms:W3CDTF">2016-02-05T15:05:00Z</dcterms:modified>
</cp:coreProperties>
</file>