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09pt;margin-top:0pt;width:612pt;height:792pt;mso-position-horizontal-relative:page;mso-position-vertical-relative:page;z-index:-251749376" coordorigin="0,0" coordsize="12240,15840">
            <v:shape style="position:absolute;left:0;top:0;width:12240;height:15840" type="#_x0000_t75" stroked="false">
              <v:imagedata r:id="rId5" o:title=""/>
            </v:shape>
            <v:shape style="position:absolute;left:11073;top:7782;width:721;height:721" type="#_x0000_t75" stroked="false">
              <v:imagedata r:id="rId6" o:title=""/>
            </v:shape>
            <v:shape style="position:absolute;left:1094;top:4375;width:10047;height:11326" type="#_x0000_t75" stroked="false">
              <v:imagedata r:id="rId7" o:title=""/>
            </v:shape>
            <v:rect style="position:absolute;left:1224;top:4444;width:9792;height:11074" filled="true" fillcolor="#c0ffff" stroked="false">
              <v:fill opacity="39321f" type="solid"/>
            </v:rect>
            <v:rect style="position:absolute;left:1224;top:4444;width:9792;height:11074" filled="false" stroked="true" strokeweight="4.5pt" strokecolor="#ffffff">
              <v:stroke dashstyle="solid"/>
            </v:rect>
            <v:shape style="position:absolute;left:1744;top:3823;width:8750;height:11344" type="#_x0000_t75" stroked="false">
              <v:imagedata r:id="rId8" o:title=""/>
            </v:shape>
            <v:shape style="position:absolute;left:3960;top:14347;width:462;height:338" type="#_x0000_t75" stroked="false">
              <v:imagedata r:id="rId9" o:title=""/>
            </v:shape>
            <v:shape style="position:absolute;left:359;top:1854;width:721;height:721" type="#_x0000_t75" stroked="false">
              <v:imagedata r:id="rId6" o:title=""/>
            </v:shape>
            <v:shape style="position:absolute;left:808;top:256;width:10618;height:6113" type="#_x0000_t75" stroked="false">
              <v:imagedata r:id="rId10" o:title=""/>
            </v:shape>
            <v:shape style="position:absolute;left:899;top:319;width:10440;height:5936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spacing w:before="101"/>
        <w:ind w:left="195" w:right="195" w:firstLine="0"/>
        <w:jc w:val="center"/>
        <w:rPr>
          <w:i/>
          <w:sz w:val="28"/>
        </w:rPr>
      </w:pPr>
      <w:r>
        <w:rPr>
          <w:i/>
          <w:color w:val="7E7E7E"/>
          <w:w w:val="95"/>
          <w:sz w:val="28"/>
        </w:rPr>
        <w:t>Sponsored by the Medical Society of the State of New York</w:t>
      </w:r>
    </w:p>
    <w:p>
      <w:pPr>
        <w:spacing w:before="57"/>
        <w:ind w:left="195" w:right="186" w:firstLine="0"/>
        <w:jc w:val="center"/>
        <w:rPr>
          <w:b/>
          <w:i/>
          <w:sz w:val="40"/>
        </w:rPr>
      </w:pPr>
      <w:r>
        <w:rPr>
          <w:b/>
          <w:i/>
          <w:color w:val="006FC0"/>
          <w:sz w:val="40"/>
        </w:rPr>
        <w:t>Beyond the Diagnosis:</w:t>
      </w:r>
    </w:p>
    <w:p>
      <w:pPr>
        <w:pStyle w:val="Heading1"/>
        <w:spacing w:before="34"/>
        <w:rPr>
          <w:i/>
        </w:rPr>
      </w:pPr>
      <w:r>
        <w:rPr>
          <w:i/>
          <w:color w:val="006FC0"/>
        </w:rPr>
        <w:t>Lessons</w:t>
      </w:r>
      <w:r>
        <w:rPr>
          <w:i/>
          <w:color w:val="006FC0"/>
          <w:spacing w:val="-60"/>
        </w:rPr>
        <w:t> </w:t>
      </w:r>
      <w:r>
        <w:rPr>
          <w:i/>
          <w:color w:val="006FC0"/>
        </w:rPr>
        <w:t>in</w:t>
      </w:r>
      <w:r>
        <w:rPr>
          <w:i/>
          <w:color w:val="006FC0"/>
          <w:spacing w:val="-59"/>
        </w:rPr>
        <w:t> </w:t>
      </w:r>
      <w:r>
        <w:rPr>
          <w:i/>
          <w:color w:val="006FC0"/>
        </w:rPr>
        <w:t>Vaccine-Preventable</w:t>
      </w:r>
      <w:r>
        <w:rPr>
          <w:i/>
          <w:color w:val="006FC0"/>
          <w:spacing w:val="-60"/>
        </w:rPr>
        <w:t> </w:t>
      </w:r>
      <w:r>
        <w:rPr>
          <w:i/>
          <w:color w:val="006FC0"/>
        </w:rPr>
        <w:t>Diseases</w:t>
      </w:r>
      <w:r>
        <w:rPr>
          <w:i/>
          <w:color w:val="006FC0"/>
          <w:spacing w:val="-58"/>
        </w:rPr>
        <w:t> </w:t>
      </w:r>
      <w:r>
        <w:rPr>
          <w:i/>
          <w:color w:val="006FC0"/>
        </w:rPr>
        <w:t>from</w:t>
      </w:r>
      <w:r>
        <w:rPr>
          <w:i/>
          <w:color w:val="006FC0"/>
          <w:spacing w:val="-59"/>
        </w:rPr>
        <w:t> </w:t>
      </w:r>
      <w:r>
        <w:rPr>
          <w:i/>
          <w:color w:val="006FC0"/>
        </w:rPr>
        <w:t>a</w:t>
      </w:r>
    </w:p>
    <w:p>
      <w:pPr>
        <w:spacing w:line="365" w:lineRule="exact" w:before="0"/>
        <w:ind w:left="195" w:right="195" w:firstLine="0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Survivor’s Perspective</w:t>
      </w:r>
    </w:p>
    <w:p>
      <w:pPr>
        <w:spacing w:before="30"/>
        <w:ind w:left="195" w:right="194" w:firstLine="0"/>
        <w:jc w:val="center"/>
        <w:rPr>
          <w:b/>
          <w:sz w:val="36"/>
        </w:rPr>
      </w:pPr>
      <w:r>
        <w:rPr>
          <w:b/>
          <w:color w:val="F95F5A"/>
          <w:sz w:val="36"/>
        </w:rPr>
        <w:t>Live Webinar</w:t>
      </w:r>
    </w:p>
    <w:p>
      <w:pPr>
        <w:pStyle w:val="Heading2"/>
        <w:spacing w:before="43"/>
        <w:ind w:left="1875"/>
      </w:pPr>
      <w:r>
        <w:rPr/>
        <w:t>Wednesday May 20, 2026 @ 7:30a.m.</w:t>
      </w:r>
    </w:p>
    <w:p>
      <w:pPr>
        <w:spacing w:line="211" w:lineRule="auto" w:before="123"/>
        <w:ind w:left="270" w:right="405" w:firstLine="0"/>
        <w:jc w:val="left"/>
        <w:rPr>
          <w:sz w:val="24"/>
        </w:rPr>
      </w:pPr>
      <w:r>
        <w:rPr>
          <w:b/>
          <w:i/>
          <w:color w:val="008B8F"/>
          <w:sz w:val="24"/>
        </w:rPr>
        <w:t>Faculty</w:t>
      </w:r>
      <w:r>
        <w:rPr>
          <w:b/>
          <w:color w:val="008B8F"/>
          <w:sz w:val="24"/>
        </w:rPr>
        <w:t>: </w:t>
      </w:r>
      <w:r>
        <w:rPr>
          <w:sz w:val="24"/>
        </w:rPr>
        <w:t>Jamie Schanbaum, Director of Legislative Affairs &amp; Strategic Partnerships, The J.A.M.I.E. Group</w:t>
      </w:r>
    </w:p>
    <w:p>
      <w:pPr>
        <w:spacing w:before="132"/>
        <w:ind w:left="270" w:right="0" w:firstLine="0"/>
        <w:jc w:val="left"/>
        <w:rPr>
          <w:b/>
          <w:sz w:val="24"/>
        </w:rPr>
      </w:pPr>
      <w:r>
        <w:rPr>
          <w:b/>
          <w:i/>
          <w:color w:val="008B8F"/>
          <w:sz w:val="24"/>
        </w:rPr>
        <w:t>Educational Objectives</w:t>
      </w:r>
      <w:r>
        <w:rPr>
          <w:b/>
          <w:color w:val="008B8F"/>
          <w:sz w:val="24"/>
        </w:rPr>
        <w:t>: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11" w:lineRule="auto" w:before="114" w:after="0"/>
        <w:ind w:left="630" w:right="578" w:hanging="360"/>
        <w:jc w:val="left"/>
        <w:rPr>
          <w:sz w:val="26"/>
        </w:rPr>
      </w:pPr>
      <w:r>
        <w:rPr>
          <w:b/>
          <w:sz w:val="26"/>
        </w:rPr>
        <w:t>Communicate </w:t>
      </w:r>
      <w:r>
        <w:rPr>
          <w:sz w:val="26"/>
        </w:rPr>
        <w:t>the importance of timely vaccination to patients and families using evidence-based strategies</w:t>
      </w:r>
      <w:r>
        <w:rPr>
          <w:spacing w:val="-25"/>
          <w:sz w:val="26"/>
        </w:rPr>
        <w:t> </w:t>
      </w:r>
      <w:r>
        <w:rPr>
          <w:sz w:val="26"/>
        </w:rPr>
        <w:t>and personal narrative integration, while recognizing the</w:t>
      </w:r>
      <w:r>
        <w:rPr>
          <w:spacing w:val="-28"/>
          <w:sz w:val="26"/>
        </w:rPr>
        <w:t> </w:t>
      </w:r>
      <w:r>
        <w:rPr>
          <w:sz w:val="26"/>
        </w:rPr>
        <w:t>early clinical signs and rapid progression of</w:t>
      </w:r>
      <w:r>
        <w:rPr>
          <w:spacing w:val="-10"/>
          <w:sz w:val="26"/>
        </w:rPr>
        <w:t> </w:t>
      </w:r>
      <w:r>
        <w:rPr>
          <w:sz w:val="26"/>
        </w:rPr>
        <w:t>meningococcal</w:t>
      </w:r>
    </w:p>
    <w:p>
      <w:pPr>
        <w:spacing w:line="286" w:lineRule="exact" w:before="0"/>
        <w:ind w:left="630" w:right="0" w:firstLine="0"/>
        <w:jc w:val="left"/>
        <w:rPr>
          <w:sz w:val="26"/>
        </w:rPr>
      </w:pPr>
      <w:r>
        <w:rPr>
          <w:sz w:val="26"/>
        </w:rPr>
        <w:t>septicemia to support timely diagnosis and intervention.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11" w:lineRule="auto" w:before="73" w:after="0"/>
        <w:ind w:left="630" w:right="366" w:hanging="360"/>
        <w:jc w:val="left"/>
        <w:rPr>
          <w:sz w:val="26"/>
        </w:rPr>
      </w:pPr>
      <w:r>
        <w:rPr>
          <w:b/>
          <w:sz w:val="26"/>
        </w:rPr>
        <w:t>Analyze </w:t>
      </w:r>
      <w:r>
        <w:rPr>
          <w:sz w:val="26"/>
        </w:rPr>
        <w:t>the long-term physical and psychosocial impact of vaccine-preventable diseases through the lens of patient lived</w:t>
      </w:r>
      <w:r>
        <w:rPr>
          <w:spacing w:val="-3"/>
          <w:sz w:val="26"/>
        </w:rPr>
        <w:t> </w:t>
      </w:r>
      <w:r>
        <w:rPr>
          <w:sz w:val="26"/>
        </w:rPr>
        <w:t>experience.</w:t>
      </w: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DD7D2C"/>
        </w:rPr>
        <w:t>Click</w:t>
      </w:r>
      <w:r>
        <w:rPr>
          <w:color w:val="085295"/>
          <w:u w:val="single" w:color="085295"/>
        </w:rPr>
        <w:t> </w:t>
      </w:r>
      <w:hyperlink r:id="rId12">
        <w:r>
          <w:rPr>
            <w:color w:val="085295"/>
            <w:u w:val="single" w:color="085295"/>
          </w:rPr>
          <w:t>here</w:t>
        </w:r>
        <w:r>
          <w:rPr>
            <w:color w:val="085295"/>
          </w:rPr>
          <w:t> </w:t>
        </w:r>
      </w:hyperlink>
      <w:r>
        <w:rPr>
          <w:color w:val="DD7D2C"/>
        </w:rPr>
        <w:t>to register</w:t>
      </w:r>
    </w:p>
    <w:p>
      <w:pPr>
        <w:spacing w:line="211" w:lineRule="auto" w:before="75"/>
        <w:ind w:left="270" w:right="405" w:firstLine="0"/>
        <w:jc w:val="left"/>
        <w:rPr>
          <w:b/>
          <w:sz w:val="20"/>
        </w:rPr>
      </w:pPr>
      <w:r>
        <w:rPr>
          <w:sz w:val="20"/>
        </w:rPr>
        <w:t>For more information, contact: </w:t>
      </w:r>
      <w:r>
        <w:rPr>
          <w:b/>
          <w:sz w:val="20"/>
        </w:rPr>
        <w:t>Melissa Hoffman at</w:t>
      </w:r>
      <w:r>
        <w:rPr>
          <w:b/>
          <w:color w:val="085295"/>
          <w:sz w:val="20"/>
          <w:u w:val="single" w:color="085295"/>
        </w:rPr>
        <w:t> </w:t>
      </w:r>
      <w:hyperlink r:id="rId13">
        <w:r>
          <w:rPr>
            <w:b/>
            <w:color w:val="085295"/>
            <w:sz w:val="20"/>
            <w:u w:val="single" w:color="085295"/>
          </w:rPr>
          <w:t>mhoffman@mssny.org</w:t>
        </w:r>
      </w:hyperlink>
      <w:r>
        <w:rPr>
          <w:b/>
          <w:color w:val="085295"/>
          <w:sz w:val="20"/>
        </w:rPr>
        <w:t> </w:t>
      </w:r>
      <w:r>
        <w:rPr>
          <w:b/>
          <w:sz w:val="20"/>
        </w:rPr>
        <w:t>or call (518) 465-8085</w:t>
      </w:r>
    </w:p>
    <w:p>
      <w:pPr>
        <w:spacing w:before="55"/>
        <w:ind w:left="1234" w:right="0" w:firstLine="0"/>
        <w:jc w:val="left"/>
        <w:rPr>
          <w:i/>
          <w:sz w:val="20"/>
        </w:rPr>
      </w:pPr>
      <w:r>
        <w:rPr>
          <w:i/>
          <w:color w:val="7E7E7E"/>
          <w:sz w:val="20"/>
        </w:rPr>
        <w:t>Funding provided by the New York State Department of Health</w:t>
      </w:r>
    </w:p>
    <w:p>
      <w:pPr>
        <w:pStyle w:val="BodyText"/>
        <w:spacing w:line="213" w:lineRule="auto" w:before="76"/>
        <w:ind w:left="270" w:right="330"/>
        <w:jc w:val="both"/>
      </w:pPr>
      <w:r>
        <w:rPr/>
        <w:t>The Medical Society of the State of New York is accredited by the Accreditation Council for</w:t>
      </w:r>
      <w:r>
        <w:rPr>
          <w:spacing w:val="-30"/>
        </w:rPr>
        <w:t> </w:t>
      </w:r>
      <w:r>
        <w:rPr/>
        <w:t>Continuing Medical Education (ACCME) to provide continuing medical education for</w:t>
      </w:r>
      <w:r>
        <w:rPr>
          <w:spacing w:val="-11"/>
        </w:rPr>
        <w:t> </w:t>
      </w:r>
      <w:r>
        <w:rPr/>
        <w:t>physicians.</w:t>
      </w:r>
    </w:p>
    <w:p>
      <w:pPr>
        <w:pStyle w:val="BodyText"/>
        <w:spacing w:line="211" w:lineRule="auto" w:before="78"/>
        <w:ind w:left="270" w:right="346"/>
        <w:jc w:val="both"/>
      </w:pPr>
      <w:r>
        <w:rPr/>
        <w:t>The Medical Society of the State of New York designates this live activity for a maximum of 1.0 </w:t>
      </w:r>
      <w:r>
        <w:rPr>
          <w:b/>
          <w:i/>
        </w:rPr>
        <w:t>AMA </w:t>
      </w:r>
      <w:r>
        <w:rPr>
          <w:b/>
          <w:i/>
        </w:rPr>
        <w:t>PRA Category 1 credits </w:t>
      </w:r>
      <w:r>
        <w:rPr/>
        <w:t>Physicians should claim only the credit commensurate with the extent of their participation in the activity.</w:t>
      </w:r>
    </w:p>
    <w:sectPr>
      <w:type w:val="continuous"/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"/>
      <w:lvlJc w:val="left"/>
      <w:pPr>
        <w:ind w:left="630" w:hanging="360"/>
      </w:pPr>
      <w:rPr>
        <w:rFonts w:hint="default" w:ascii="Wingdings" w:hAnsi="Wingdings" w:eastAsia="Wingdings" w:cs="Wingdings"/>
        <w:color w:val="008000"/>
        <w:w w:val="163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456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272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536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352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line="365" w:lineRule="exact"/>
      <w:ind w:left="195" w:right="195"/>
      <w:jc w:val="center"/>
      <w:outlineLvl w:val="1"/>
    </w:pPr>
    <w:rPr>
      <w:rFonts w:ascii="Verdana" w:hAnsi="Verdana" w:eastAsia="Verdana" w:cs="Verdana"/>
      <w:b/>
      <w:bCs/>
      <w:i/>
      <w:sz w:val="32"/>
      <w:szCs w:val="32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270"/>
      <w:outlineLvl w:val="2"/>
    </w:pPr>
    <w:rPr>
      <w:rFonts w:ascii="Verdana" w:hAnsi="Verdana" w:eastAsia="Verdana" w:cs="Verdana"/>
      <w:b/>
      <w:bCs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73"/>
      <w:ind w:left="630" w:right="366" w:hanging="360"/>
    </w:pPr>
    <w:rPr>
      <w:rFonts w:ascii="Verdana" w:hAnsi="Verdana" w:eastAsia="Verdana" w:cs="Verdana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s://mssny.zoom.us/webinar/register/WN_8bnrN7k2T-GUVzvFMcfivQ" TargetMode="External"/><Relationship Id="rId13" Type="http://schemas.openxmlformats.org/officeDocument/2006/relationships/hyperlink" Target="mailto:mhoffman@mssny.org" TargetMode="External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Hoffman</dc:creator>
  <dcterms:created xsi:type="dcterms:W3CDTF">2026-05-05T15:48:21Z</dcterms:created>
  <dcterms:modified xsi:type="dcterms:W3CDTF">2026-05-05T15:48:21Z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2026-04-29T00:00:00Z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2026-05-05T00:00:00Z</vt:filetime>
  </property>
</Properties>
</file>