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02" w:rsidRDefault="00760C02" w:rsidP="00760C02"/>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60C02" w:rsidTr="00760C02">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60C02">
              <w:trPr>
                <w:tblCellSpacing w:w="0" w:type="dxa"/>
                <w:jc w:val="center"/>
              </w:trPr>
              <w:tc>
                <w:tcPr>
                  <w:tcW w:w="5000" w:type="pct"/>
                  <w:vAlign w:val="center"/>
                </w:tcPr>
                <w:tbl>
                  <w:tblPr>
                    <w:tblW w:w="5000" w:type="pct"/>
                    <w:tblCellSpacing w:w="0" w:type="dxa"/>
                    <w:tblCellMar>
                      <w:left w:w="0" w:type="dxa"/>
                      <w:right w:w="0" w:type="dxa"/>
                    </w:tblCellMar>
                    <w:tblLook w:val="04A0" w:firstRow="1" w:lastRow="0" w:firstColumn="1" w:lastColumn="0" w:noHBand="0" w:noVBand="1"/>
                  </w:tblPr>
                  <w:tblGrid>
                    <w:gridCol w:w="9000"/>
                  </w:tblGrid>
                  <w:tr w:rsidR="00760C02">
                    <w:trPr>
                      <w:tblCellSpacing w:w="0" w:type="dxa"/>
                    </w:trPr>
                    <w:tc>
                      <w:tcPr>
                        <w:tcW w:w="0" w:type="auto"/>
                        <w:vAlign w:val="bottom"/>
                        <w:hideMark/>
                      </w:tcPr>
                      <w:p w:rsidR="00760C02" w:rsidRDefault="00760C02">
                        <w:pPr>
                          <w:jc w:val="center"/>
                          <w:rPr>
                            <w:color w:val="000000"/>
                          </w:rPr>
                        </w:pPr>
                      </w:p>
                    </w:tc>
                  </w:tr>
                </w:tbl>
                <w:p w:rsidR="00760C02" w:rsidRDefault="00760C02">
                  <w:pPr>
                    <w:rPr>
                      <w:vanish/>
                    </w:rPr>
                  </w:pPr>
                </w:p>
                <w:tbl>
                  <w:tblPr>
                    <w:tblW w:w="4801" w:type="pct"/>
                    <w:tblCellSpacing w:w="0" w:type="dxa"/>
                    <w:shd w:val="clear" w:color="auto" w:fill="001A81"/>
                    <w:tblCellMar>
                      <w:left w:w="0" w:type="dxa"/>
                      <w:right w:w="0" w:type="dxa"/>
                    </w:tblCellMar>
                    <w:tblLook w:val="04A0" w:firstRow="1" w:lastRow="0" w:firstColumn="1" w:lastColumn="0" w:noHBand="0" w:noVBand="1"/>
                  </w:tblPr>
                  <w:tblGrid>
                    <w:gridCol w:w="8642"/>
                  </w:tblGrid>
                  <w:tr w:rsidR="00760C02" w:rsidTr="00760C02">
                    <w:trPr>
                      <w:trHeight w:val="709"/>
                      <w:tblCellSpacing w:w="0" w:type="dxa"/>
                    </w:trPr>
                    <w:tc>
                      <w:tcPr>
                        <w:tcW w:w="5000" w:type="pct"/>
                        <w:shd w:val="clear" w:color="auto" w:fill="292D5C"/>
                        <w:tcMar>
                          <w:top w:w="75" w:type="dxa"/>
                          <w:left w:w="75" w:type="dxa"/>
                          <w:bottom w:w="75" w:type="dxa"/>
                          <w:right w:w="75" w:type="dxa"/>
                        </w:tcMar>
                        <w:vAlign w:val="center"/>
                        <w:hideMark/>
                      </w:tcPr>
                      <w:p w:rsidR="00760C02" w:rsidRDefault="00760C02">
                        <w:pPr>
                          <w:jc w:val="center"/>
                          <w:rPr>
                            <w:rFonts w:ascii="Verdana" w:hAnsi="Verdana"/>
                            <w:color w:val="FFFFFF"/>
                            <w:sz w:val="36"/>
                            <w:szCs w:val="36"/>
                          </w:rPr>
                        </w:pPr>
                        <w:r>
                          <w:rPr>
                            <w:noProof/>
                            <w:color w:val="000000"/>
                          </w:rPr>
                          <w:drawing>
                            <wp:inline distT="0" distB="0" distL="0" distR="0" wp14:anchorId="0861759A" wp14:editId="1DE93E15">
                              <wp:extent cx="842931" cy="429895"/>
                              <wp:effectExtent l="0" t="0" r="0" b="8255"/>
                              <wp:docPr id="1" name="Picture 1" descr="NDL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LSF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640" cy="429746"/>
                                      </a:xfrm>
                                      <a:prstGeom prst="rect">
                                        <a:avLst/>
                                      </a:prstGeom>
                                      <a:noFill/>
                                      <a:ln>
                                        <a:noFill/>
                                      </a:ln>
                                    </pic:spPr>
                                  </pic:pic>
                                </a:graphicData>
                              </a:graphic>
                            </wp:inline>
                          </w:drawing>
                        </w:r>
                        <w:r>
                          <w:rPr>
                            <w:rFonts w:ascii="Verdana" w:hAnsi="Verdana"/>
                            <w:color w:val="FFFFFF"/>
                            <w:sz w:val="36"/>
                            <w:szCs w:val="36"/>
                          </w:rPr>
                          <w:t>New NDLS Course Coming Soon!</w:t>
                        </w:r>
                      </w:p>
                    </w:tc>
                  </w:tr>
                </w:tbl>
                <w:p w:rsidR="00760C02" w:rsidRDefault="00760C02">
                  <w:pPr>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760C02">
                    <w:trPr>
                      <w:tblCellSpacing w:w="0" w:type="dxa"/>
                    </w:trPr>
                    <w:tc>
                      <w:tcPr>
                        <w:tcW w:w="0" w:type="auto"/>
                        <w:tcMar>
                          <w:top w:w="75" w:type="dxa"/>
                          <w:left w:w="75" w:type="dxa"/>
                          <w:bottom w:w="75" w:type="dxa"/>
                          <w:right w:w="75" w:type="dxa"/>
                        </w:tcMar>
                        <w:vAlign w:val="center"/>
                        <w:hideMark/>
                      </w:tcPr>
                      <w:p w:rsidR="00760C02" w:rsidRPr="00760C02" w:rsidRDefault="00760C02">
                        <w:pPr>
                          <w:jc w:val="right"/>
                          <w:rPr>
                            <w:rFonts w:ascii="Verdana" w:hAnsi="Verdana"/>
                            <w:color w:val="000000"/>
                            <w:sz w:val="16"/>
                            <w:szCs w:val="16"/>
                          </w:rPr>
                        </w:pPr>
                        <w:r>
                          <w:rPr>
                            <w:rFonts w:ascii="Verdana" w:hAnsi="Verdana"/>
                            <w:color w:val="000000"/>
                            <w:sz w:val="16"/>
                            <w:szCs w:val="16"/>
                          </w:rPr>
                          <w:t xml:space="preserve">Released: </w:t>
                        </w:r>
                        <w:r w:rsidRPr="00760C02">
                          <w:rPr>
                            <w:rFonts w:ascii="Verdana" w:hAnsi="Verdana"/>
                            <w:color w:val="000000"/>
                            <w:sz w:val="16"/>
                            <w:szCs w:val="16"/>
                          </w:rPr>
                          <w:t>January 28, 2016</w:t>
                        </w:r>
                      </w:p>
                    </w:tc>
                  </w:tr>
                </w:tbl>
                <w:p w:rsidR="00760C02" w:rsidRDefault="00760C02">
                  <w:pPr>
                    <w:rPr>
                      <w:rFonts w:eastAsia="Times New Roman"/>
                      <w:sz w:val="20"/>
                      <w:szCs w:val="20"/>
                    </w:rPr>
                  </w:pPr>
                </w:p>
              </w:tc>
            </w:tr>
            <w:tr w:rsidR="00760C02">
              <w:trPr>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760C02">
                    <w:trPr>
                      <w:tblCellSpacing w:w="0" w:type="dxa"/>
                    </w:trPr>
                    <w:tc>
                      <w:tcPr>
                        <w:tcW w:w="0" w:type="auto"/>
                        <w:tcMar>
                          <w:top w:w="75" w:type="dxa"/>
                          <w:left w:w="75" w:type="dxa"/>
                          <w:bottom w:w="150" w:type="dxa"/>
                          <w:right w:w="75" w:type="dxa"/>
                        </w:tcMar>
                        <w:vAlign w:val="center"/>
                        <w:hideMark/>
                      </w:tcPr>
                      <w:tbl>
                        <w:tblPr>
                          <w:tblpPr w:leftFromText="180" w:rightFromText="180" w:vertAnchor="text" w:horzAnchor="margin" w:tblpY="-193"/>
                          <w:tblOverlap w:val="never"/>
                          <w:tblW w:w="0" w:type="auto"/>
                          <w:tblCellSpacing w:w="15" w:type="dxa"/>
                          <w:tblCellMar>
                            <w:left w:w="0" w:type="dxa"/>
                            <w:right w:w="0" w:type="dxa"/>
                          </w:tblCellMar>
                          <w:tblLook w:val="04A0" w:firstRow="1" w:lastRow="0" w:firstColumn="1" w:lastColumn="0" w:noHBand="0" w:noVBand="1"/>
                        </w:tblPr>
                        <w:tblGrid>
                          <w:gridCol w:w="8850"/>
                        </w:tblGrid>
                        <w:tr w:rsidR="00760C02" w:rsidTr="00760C02">
                          <w:trPr>
                            <w:tblCellSpacing w:w="15" w:type="dxa"/>
                          </w:trPr>
                          <w:tc>
                            <w:tcPr>
                              <w:tcW w:w="0" w:type="auto"/>
                              <w:tcMar>
                                <w:top w:w="15" w:type="dxa"/>
                                <w:left w:w="15" w:type="dxa"/>
                                <w:bottom w:w="15" w:type="dxa"/>
                                <w:right w:w="15" w:type="dxa"/>
                              </w:tcMar>
                              <w:vAlign w:val="center"/>
                              <w:hideMark/>
                            </w:tcPr>
                            <w:p w:rsidR="00760C02" w:rsidRPr="00760C02" w:rsidRDefault="00760C02" w:rsidP="003412DF">
                              <w:pPr>
                                <w:spacing w:after="240"/>
                                <w:rPr>
                                  <w:color w:val="000000"/>
                                  <w:sz w:val="28"/>
                                  <w:szCs w:val="28"/>
                                </w:rPr>
                              </w:pPr>
                              <w:r w:rsidRPr="00760C02">
                                <w:rPr>
                                  <w:rStyle w:val="Strong"/>
                                  <w:color w:val="000D74"/>
                                  <w:sz w:val="28"/>
                                  <w:szCs w:val="28"/>
                                </w:rPr>
                                <w:t>Certified Hospital Emergency Coordinator course (CHEC)</w:t>
                              </w:r>
                            </w:p>
                            <w:p w:rsidR="00760C02" w:rsidRDefault="00760C02" w:rsidP="003412DF">
                              <w:pPr>
                                <w:rPr>
                                  <w:color w:val="000000"/>
                                </w:rPr>
                              </w:pPr>
                              <w:r>
                                <w:rPr>
                                  <w:color w:val="000000"/>
                                </w:rPr>
                                <w:t>The National Disaster Life Support Foundation is excited to announce that negotiations with the Center of Operational Medicine, Office of Disaster &amp; Healthcare Emergency Management, at Augusta University are complete and the Foundation will soon add the Certified Hospital Emergency Coordinator (CHEC) courses to the NDLS family of courses. CHEC incorporates concepts of mitigation, preparedness, response, and recovery in an "all-hazards" approach to ensure that hospitals are prepared to provide continued care during emergencies and disasters. The courses are taught integrating emergency management with the regulatory context in which hospitals operate. The CHEC courses have been well received both domestically and internationally since the course's inception in 2008. These courses are well suited for:</w:t>
                              </w:r>
                            </w:p>
                            <w:p w:rsidR="00760C02" w:rsidRDefault="00760C02" w:rsidP="003412DF">
                              <w:pPr>
                                <w:numPr>
                                  <w:ilvl w:val="0"/>
                                  <w:numId w:val="1"/>
                                </w:numPr>
                                <w:spacing w:before="100" w:beforeAutospacing="1" w:after="100" w:afterAutospacing="1"/>
                                <w:rPr>
                                  <w:rFonts w:eastAsia="Times New Roman"/>
                                  <w:color w:val="000000"/>
                                </w:rPr>
                              </w:pPr>
                              <w:r>
                                <w:rPr>
                                  <w:rFonts w:eastAsia="Times New Roman"/>
                                  <w:color w:val="000000"/>
                                </w:rPr>
                                <w:t>Hospital Emergency Coordinators</w:t>
                              </w:r>
                            </w:p>
                            <w:p w:rsidR="00760C02" w:rsidRDefault="00760C02" w:rsidP="003412DF">
                              <w:pPr>
                                <w:numPr>
                                  <w:ilvl w:val="0"/>
                                  <w:numId w:val="1"/>
                                </w:numPr>
                                <w:spacing w:before="100" w:beforeAutospacing="1" w:after="100" w:afterAutospacing="1"/>
                                <w:rPr>
                                  <w:rFonts w:eastAsia="Times New Roman"/>
                                  <w:color w:val="000000"/>
                                </w:rPr>
                              </w:pPr>
                              <w:r>
                                <w:rPr>
                                  <w:rFonts w:eastAsia="Times New Roman"/>
                                  <w:color w:val="000000"/>
                                </w:rPr>
                                <w:t>Incident Command Team &amp; Emergency Management Committee Members</w:t>
                              </w:r>
                            </w:p>
                            <w:p w:rsidR="00760C02" w:rsidRDefault="00760C02" w:rsidP="003412DF">
                              <w:pPr>
                                <w:numPr>
                                  <w:ilvl w:val="0"/>
                                  <w:numId w:val="1"/>
                                </w:numPr>
                                <w:spacing w:before="100" w:beforeAutospacing="1" w:after="100" w:afterAutospacing="1"/>
                                <w:rPr>
                                  <w:rFonts w:eastAsia="Times New Roman"/>
                                  <w:color w:val="000000"/>
                                </w:rPr>
                              </w:pPr>
                              <w:r>
                                <w:rPr>
                                  <w:rFonts w:eastAsia="Times New Roman"/>
                                  <w:color w:val="000000"/>
                                </w:rPr>
                                <w:t>Healthcare Coalitions and Public Health</w:t>
                              </w:r>
                            </w:p>
                            <w:p w:rsidR="00760C02" w:rsidRDefault="00760C02" w:rsidP="003412DF">
                              <w:pPr>
                                <w:numPr>
                                  <w:ilvl w:val="0"/>
                                  <w:numId w:val="1"/>
                                </w:numPr>
                                <w:spacing w:before="100" w:beforeAutospacing="1" w:after="100" w:afterAutospacing="1"/>
                                <w:rPr>
                                  <w:rFonts w:eastAsia="Times New Roman"/>
                                  <w:color w:val="000000"/>
                                </w:rPr>
                              </w:pPr>
                              <w:r>
                                <w:rPr>
                                  <w:rFonts w:eastAsia="Times New Roman"/>
                                  <w:color w:val="000000"/>
                                </w:rPr>
                                <w:t>Emergency Departments and Hospital Staff</w:t>
                              </w:r>
                            </w:p>
                            <w:p w:rsidR="00760C02" w:rsidRDefault="00760C02" w:rsidP="003412DF">
                              <w:pPr>
                                <w:numPr>
                                  <w:ilvl w:val="0"/>
                                  <w:numId w:val="1"/>
                                </w:numPr>
                                <w:spacing w:before="100" w:beforeAutospacing="1" w:after="100" w:afterAutospacing="1"/>
                                <w:rPr>
                                  <w:rFonts w:eastAsia="Times New Roman"/>
                                  <w:color w:val="000000"/>
                                </w:rPr>
                              </w:pPr>
                              <w:r>
                                <w:rPr>
                                  <w:rFonts w:eastAsia="Times New Roman"/>
                                  <w:color w:val="000000"/>
                                </w:rPr>
                                <w:t>County Emergency Managers</w:t>
                              </w:r>
                            </w:p>
                            <w:p w:rsidR="00760C02" w:rsidRDefault="00760C02" w:rsidP="003412DF">
                              <w:pPr>
                                <w:numPr>
                                  <w:ilvl w:val="0"/>
                                  <w:numId w:val="1"/>
                                </w:numPr>
                                <w:spacing w:before="100" w:beforeAutospacing="1" w:after="100" w:afterAutospacing="1"/>
                                <w:rPr>
                                  <w:rFonts w:eastAsia="Times New Roman"/>
                                  <w:color w:val="000000"/>
                                </w:rPr>
                              </w:pPr>
                              <w:r>
                                <w:rPr>
                                  <w:rFonts w:eastAsia="Times New Roman"/>
                                  <w:color w:val="000000"/>
                                </w:rPr>
                                <w:t>First Responders (EMTs, police, fire)</w:t>
                              </w:r>
                            </w:p>
                            <w:p w:rsidR="00760C02" w:rsidRDefault="00760C02" w:rsidP="003412DF">
                              <w:pPr>
                                <w:numPr>
                                  <w:ilvl w:val="0"/>
                                  <w:numId w:val="1"/>
                                </w:numPr>
                                <w:spacing w:before="100" w:beforeAutospacing="1" w:after="100" w:afterAutospacing="1"/>
                                <w:rPr>
                                  <w:rFonts w:eastAsia="Times New Roman"/>
                                  <w:color w:val="000000"/>
                                </w:rPr>
                              </w:pPr>
                              <w:r>
                                <w:rPr>
                                  <w:rFonts w:eastAsia="Times New Roman"/>
                                  <w:color w:val="000000"/>
                                </w:rPr>
                                <w:t>Long-term Care, Nursing homes, and Hospice</w:t>
                              </w:r>
                            </w:p>
                            <w:p w:rsidR="00760C02" w:rsidRDefault="00760C02" w:rsidP="003412DF">
                              <w:pPr>
                                <w:rPr>
                                  <w:color w:val="000000"/>
                                </w:rPr>
                              </w:pPr>
                              <w:r>
                                <w:rPr>
                                  <w:color w:val="000000"/>
                                </w:rPr>
                                <w:t xml:space="preserve">Currently CHEC is divided into a Basic and Advanced course and include topics such as: </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Hospital Preparedness Program Overview</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Emergency Management Overview</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Federal, State, and Local: The Process When Disaster Strikes</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NIMS/ICS/HICS Overview</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Regulations and Standards</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CHEC Roles and Integrated Response</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The Emergency Operations Plan (EOP)</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Hazard Identification/Assessment &amp; HVA Practical Exercise</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Gaining Support for an EOP</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 xml:space="preserve">Emergency Communications &amp; The Hospital Command Center </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EOP Basics</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EOP Development</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Annexes and Appendixes</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EOP Implementation</w:t>
                              </w:r>
                            </w:p>
                            <w:p w:rsidR="00760C02" w:rsidRDefault="00760C02" w:rsidP="003412DF">
                              <w:pPr>
                                <w:numPr>
                                  <w:ilvl w:val="0"/>
                                  <w:numId w:val="2"/>
                                </w:numPr>
                                <w:spacing w:before="100" w:beforeAutospacing="1" w:after="100" w:afterAutospacing="1"/>
                                <w:rPr>
                                  <w:rFonts w:eastAsia="Times New Roman"/>
                                  <w:color w:val="000000"/>
                                </w:rPr>
                              </w:pPr>
                              <w:r>
                                <w:rPr>
                                  <w:rFonts w:eastAsia="Times New Roman"/>
                                  <w:color w:val="000000"/>
                                </w:rPr>
                                <w:t>Evaluating an EOP for Quality</w:t>
                              </w:r>
                            </w:p>
                            <w:p w:rsidR="00760C02" w:rsidRDefault="00760C02" w:rsidP="00760C02">
                              <w:pPr>
                                <w:numPr>
                                  <w:ilvl w:val="0"/>
                                  <w:numId w:val="2"/>
                                </w:numPr>
                                <w:spacing w:before="100" w:beforeAutospacing="1" w:after="100" w:afterAutospacing="1"/>
                                <w:rPr>
                                  <w:color w:val="000000"/>
                                </w:rPr>
                              </w:pPr>
                              <w:r>
                                <w:rPr>
                                  <w:rFonts w:eastAsia="Times New Roman"/>
                                  <w:color w:val="000000"/>
                                </w:rPr>
                                <w:t>Exercising your EOP</w:t>
                              </w:r>
                            </w:p>
                          </w:tc>
                        </w:tr>
                      </w:tbl>
                      <w:p w:rsidR="00760C02" w:rsidRDefault="00760C02">
                        <w:pPr>
                          <w:rPr>
                            <w:rFonts w:eastAsia="Times New Roman"/>
                            <w:sz w:val="20"/>
                            <w:szCs w:val="20"/>
                          </w:rPr>
                        </w:pPr>
                      </w:p>
                    </w:tc>
                  </w:tr>
                </w:tbl>
                <w:p w:rsidR="00760C02" w:rsidRDefault="00760C02">
                  <w:pPr>
                    <w:rPr>
                      <w:rFonts w:eastAsia="Times New Roman"/>
                      <w:sz w:val="20"/>
                      <w:szCs w:val="20"/>
                    </w:rPr>
                  </w:pPr>
                </w:p>
              </w:tc>
            </w:tr>
          </w:tbl>
          <w:p w:rsidR="00760C02" w:rsidRDefault="00760C02">
            <w:pPr>
              <w:jc w:val="center"/>
              <w:rPr>
                <w:rFonts w:eastAsia="Times New Roman"/>
                <w:sz w:val="20"/>
                <w:szCs w:val="20"/>
              </w:rPr>
            </w:pPr>
          </w:p>
        </w:tc>
      </w:tr>
    </w:tbl>
    <w:p w:rsidR="00541A7E" w:rsidRDefault="00541A7E">
      <w:bookmarkStart w:id="0" w:name="_GoBack"/>
      <w:bookmarkEnd w:id="0"/>
    </w:p>
    <w:sectPr w:rsidR="0054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D4F22"/>
    <w:multiLevelType w:val="multilevel"/>
    <w:tmpl w:val="26525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F603D1F"/>
    <w:multiLevelType w:val="multilevel"/>
    <w:tmpl w:val="FD380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02"/>
    <w:rsid w:val="00541A7E"/>
    <w:rsid w:val="00760C02"/>
    <w:rsid w:val="008A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C02"/>
    <w:rPr>
      <w:color w:val="0000FF"/>
      <w:u w:val="single"/>
    </w:rPr>
  </w:style>
  <w:style w:type="character" w:styleId="Strong">
    <w:name w:val="Strong"/>
    <w:basedOn w:val="DefaultParagraphFont"/>
    <w:uiPriority w:val="22"/>
    <w:qFormat/>
    <w:rsid w:val="00760C02"/>
    <w:rPr>
      <w:b/>
      <w:bCs/>
    </w:rPr>
  </w:style>
  <w:style w:type="paragraph" w:styleId="BalloonText">
    <w:name w:val="Balloon Text"/>
    <w:basedOn w:val="Normal"/>
    <w:link w:val="BalloonTextChar"/>
    <w:uiPriority w:val="99"/>
    <w:semiHidden/>
    <w:unhideWhenUsed/>
    <w:rsid w:val="00760C02"/>
    <w:rPr>
      <w:rFonts w:ascii="Tahoma" w:hAnsi="Tahoma" w:cs="Tahoma"/>
      <w:sz w:val="16"/>
      <w:szCs w:val="16"/>
    </w:rPr>
  </w:style>
  <w:style w:type="character" w:customStyle="1" w:styleId="BalloonTextChar">
    <w:name w:val="Balloon Text Char"/>
    <w:basedOn w:val="DefaultParagraphFont"/>
    <w:link w:val="BalloonText"/>
    <w:uiPriority w:val="99"/>
    <w:semiHidden/>
    <w:rsid w:val="00760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C02"/>
    <w:rPr>
      <w:color w:val="0000FF"/>
      <w:u w:val="single"/>
    </w:rPr>
  </w:style>
  <w:style w:type="character" w:styleId="Strong">
    <w:name w:val="Strong"/>
    <w:basedOn w:val="DefaultParagraphFont"/>
    <w:uiPriority w:val="22"/>
    <w:qFormat/>
    <w:rsid w:val="00760C02"/>
    <w:rPr>
      <w:b/>
      <w:bCs/>
    </w:rPr>
  </w:style>
  <w:style w:type="paragraph" w:styleId="BalloonText">
    <w:name w:val="Balloon Text"/>
    <w:basedOn w:val="Normal"/>
    <w:link w:val="BalloonTextChar"/>
    <w:uiPriority w:val="99"/>
    <w:semiHidden/>
    <w:unhideWhenUsed/>
    <w:rsid w:val="00760C02"/>
    <w:rPr>
      <w:rFonts w:ascii="Tahoma" w:hAnsi="Tahoma" w:cs="Tahoma"/>
      <w:sz w:val="16"/>
      <w:szCs w:val="16"/>
    </w:rPr>
  </w:style>
  <w:style w:type="character" w:customStyle="1" w:styleId="BalloonTextChar">
    <w:name w:val="Balloon Text Char"/>
    <w:basedOn w:val="DefaultParagraphFont"/>
    <w:link w:val="BalloonText"/>
    <w:uiPriority w:val="99"/>
    <w:semiHidden/>
    <w:rsid w:val="00760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0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 Anne</dc:creator>
  <cp:lastModifiedBy>DAngelo, Anne</cp:lastModifiedBy>
  <cp:revision>2</cp:revision>
  <dcterms:created xsi:type="dcterms:W3CDTF">2016-03-08T19:55:00Z</dcterms:created>
  <dcterms:modified xsi:type="dcterms:W3CDTF">2016-03-08T19:59:00Z</dcterms:modified>
</cp:coreProperties>
</file>