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3D" w:rsidRDefault="00AB423D" w:rsidP="00AB423D">
      <w:pPr>
        <w:pStyle w:val="NormalWeb"/>
        <w:rPr>
          <w:rFonts w:ascii="Calibri" w:hAnsi="Calibri"/>
          <w:color w:val="212121"/>
        </w:rPr>
      </w:pPr>
    </w:p>
    <w:p w:rsidR="00AB423D" w:rsidRDefault="00AB423D" w:rsidP="00AB423D">
      <w:pPr>
        <w:pStyle w:val="NormalWeb"/>
        <w:shd w:val="clear" w:color="auto" w:fill="17365D"/>
        <w:ind w:left="288" w:right="58" w:hanging="158"/>
        <w:jc w:val="center"/>
        <w:rPr>
          <w:rFonts w:ascii="Calibri" w:hAnsi="Calibri"/>
          <w:color w:val="212121"/>
        </w:rPr>
      </w:pPr>
      <w:r>
        <w:rPr>
          <w:rFonts w:ascii="Arial Black" w:hAnsi="Arial Black"/>
          <w:b/>
          <w:bCs/>
          <w:i/>
          <w:iCs/>
          <w:color w:val="FFFFFF"/>
        </w:rPr>
        <w:t>SAVE THE DATE!</w:t>
      </w:r>
    </w:p>
    <w:p w:rsidR="00AB423D" w:rsidRDefault="00AB423D" w:rsidP="00AB423D">
      <w:pPr>
        <w:pStyle w:val="NormalWeb"/>
        <w:shd w:val="clear" w:color="auto" w:fill="17365D"/>
        <w:ind w:left="288" w:right="58" w:hanging="158"/>
        <w:jc w:val="center"/>
        <w:rPr>
          <w:rFonts w:ascii="Calibri" w:hAnsi="Calibri"/>
          <w:color w:val="212121"/>
        </w:rPr>
      </w:pPr>
      <w:r>
        <w:rPr>
          <w:rFonts w:ascii="Arial Black" w:hAnsi="Arial Black"/>
          <w:b/>
          <w:bCs/>
          <w:i/>
          <w:iCs/>
          <w:color w:val="FFFFFF"/>
        </w:rPr>
        <w:t xml:space="preserve">Healthcare Coalition Surge Evaluation Tool Exercise </w:t>
      </w:r>
    </w:p>
    <w:p w:rsidR="00AB423D" w:rsidRDefault="00AB423D" w:rsidP="00AB423D">
      <w:pPr>
        <w:pStyle w:val="NormalWeb"/>
        <w:shd w:val="clear" w:color="auto" w:fill="17365D"/>
        <w:ind w:left="288" w:right="58" w:hanging="158"/>
        <w:jc w:val="center"/>
        <w:rPr>
          <w:rFonts w:ascii="Calibri" w:hAnsi="Calibri"/>
          <w:color w:val="212121"/>
        </w:rPr>
      </w:pPr>
      <w:r>
        <w:rPr>
          <w:rFonts w:ascii="Arial Black" w:hAnsi="Arial Black"/>
          <w:b/>
          <w:bCs/>
          <w:i/>
          <w:iCs/>
          <w:color w:val="FFFFFF"/>
        </w:rPr>
        <w:t> </w:t>
      </w:r>
      <w:r>
        <w:rPr>
          <w:rFonts w:ascii="Arial" w:hAnsi="Arial" w:cs="Arial"/>
          <w:b/>
          <w:bCs/>
          <w:i/>
          <w:iCs/>
          <w:color w:val="C6D9F1"/>
        </w:rPr>
        <w:t>Webinar on February 7, 2017, 1:00-2:30 PM ET</w:t>
      </w:r>
    </w:p>
    <w:p w:rsidR="00AB423D" w:rsidRDefault="00AB423D" w:rsidP="00AB423D">
      <w:pPr>
        <w:pStyle w:val="NormalWeb"/>
        <w:rPr>
          <w:rFonts w:ascii="Calibri" w:hAnsi="Calibri"/>
          <w:color w:val="212121"/>
        </w:rPr>
      </w:pPr>
      <w:r>
        <w:rPr>
          <w:rFonts w:ascii="Arial" w:hAnsi="Arial" w:cs="Arial"/>
          <w:color w:val="323E4F"/>
          <w:spacing w:val="-2"/>
        </w:rPr>
        <w:t> </w:t>
      </w:r>
    </w:p>
    <w:p w:rsidR="00AB423D" w:rsidRDefault="00AB423D" w:rsidP="00AB423D">
      <w:pPr>
        <w:pStyle w:val="NormalWeb"/>
        <w:rPr>
          <w:rFonts w:ascii="Calibri" w:hAnsi="Calibri"/>
          <w:color w:val="212121"/>
        </w:rPr>
      </w:pPr>
      <w:hyperlink r:id="rId4" w:tgtFrame="_blank" w:history="1">
        <w:r>
          <w:rPr>
            <w:rStyle w:val="Hyperlink"/>
            <w:rFonts w:ascii="Calibri" w:hAnsi="Calibri" w:cs="Arial"/>
            <w:color w:val="0563C1"/>
            <w:spacing w:val="-2"/>
            <w:sz w:val="22"/>
            <w:szCs w:val="22"/>
          </w:rPr>
          <w:t>The Health Care Coalition (HCC) Surge Evaluation Tool</w:t>
        </w:r>
      </w:hyperlink>
      <w:r>
        <w:rPr>
          <w:rFonts w:ascii="Calibri" w:hAnsi="Calibri"/>
          <w:color w:val="262524"/>
          <w:spacing w:val="-2"/>
          <w:sz w:val="22"/>
          <w:szCs w:val="22"/>
        </w:rPr>
        <w:t xml:space="preserve"> </w:t>
      </w:r>
      <w:r>
        <w:rPr>
          <w:rFonts w:ascii="Calibri" w:hAnsi="Calibri"/>
          <w:color w:val="323E4F"/>
          <w:spacing w:val="-2"/>
          <w:sz w:val="22"/>
          <w:szCs w:val="22"/>
        </w:rPr>
        <w:t>is designed to help health care coalitions identify gaps in their surge planning through a no- or low-notice drill. The drill’s foundation comes from a real-world health care system disaster challenge:  evacuations of hospitals or other patient care facilities. Further, the tool incorporates the real-world lessons learned of health care coalitions who contributed significantly to the tool’s development. The HCC Surge Evaluation Tool tests a coalition’s ability to work in a coordinated way to find appropriate destinations for patients using a simulated evacuation of at least 20 percent of a health care coalition’s acute care, inpatient beds.</w:t>
      </w:r>
    </w:p>
    <w:p w:rsidR="00AB423D" w:rsidRDefault="00AB423D" w:rsidP="00AB423D">
      <w:pPr>
        <w:pStyle w:val="NormalWeb"/>
        <w:rPr>
          <w:rFonts w:ascii="Calibri" w:hAnsi="Calibri"/>
          <w:color w:val="212121"/>
        </w:rPr>
      </w:pPr>
      <w:r>
        <w:rPr>
          <w:rFonts w:ascii="Calibri" w:hAnsi="Calibri"/>
          <w:color w:val="323E4F"/>
          <w:spacing w:val="-2"/>
          <w:sz w:val="22"/>
          <w:szCs w:val="22"/>
        </w:rPr>
        <w:t> </w:t>
      </w:r>
    </w:p>
    <w:p w:rsidR="00AB423D" w:rsidRDefault="00AB423D" w:rsidP="00AB423D">
      <w:pPr>
        <w:pStyle w:val="NormalWeb"/>
        <w:rPr>
          <w:rFonts w:ascii="Calibri" w:hAnsi="Calibri"/>
          <w:color w:val="212121"/>
        </w:rPr>
      </w:pPr>
      <w:r>
        <w:rPr>
          <w:rFonts w:ascii="Calibri" w:hAnsi="Calibri"/>
          <w:color w:val="323E4F"/>
          <w:spacing w:val="-2"/>
          <w:sz w:val="22"/>
          <w:szCs w:val="22"/>
        </w:rPr>
        <w:t xml:space="preserve">As part of the ASPR HPP Cooperative Agreement, starting in 2017, all health care coalitions will be required to utilize the HCC Surge Evaluation Tool to help them operationalize plans and close gaps. Join us on this webinar to hear speakers from ASPR HPP provide an overview of the tool, and hear from coalition and hospital leaders and state representatives from South Dakota, Texas, and Michigan on how they have used the tool, plans to ensure future implementation, and lessons learned. The webinar will take place </w:t>
      </w:r>
      <w:r>
        <w:rPr>
          <w:rFonts w:ascii="Calibri" w:hAnsi="Calibri"/>
          <w:b/>
          <w:bCs/>
          <w:color w:val="C00000"/>
          <w:spacing w:val="-2"/>
          <w:sz w:val="22"/>
          <w:szCs w:val="22"/>
        </w:rPr>
        <w:t>Tuesday, February 7, 2017 from 1:00-2:30 PM Eastern Time</w:t>
      </w:r>
      <w:r>
        <w:rPr>
          <w:rFonts w:ascii="Calibri" w:hAnsi="Calibri"/>
          <w:color w:val="323E4F"/>
          <w:spacing w:val="-2"/>
          <w:sz w:val="22"/>
          <w:szCs w:val="22"/>
        </w:rPr>
        <w:t xml:space="preserve">. </w:t>
      </w:r>
    </w:p>
    <w:p w:rsidR="00AB423D" w:rsidRDefault="00AB423D" w:rsidP="00AB423D">
      <w:pPr>
        <w:pStyle w:val="NormalWeb"/>
        <w:rPr>
          <w:rFonts w:ascii="Calibri" w:hAnsi="Calibri"/>
          <w:color w:val="212121"/>
        </w:rPr>
      </w:pPr>
      <w:r>
        <w:rPr>
          <w:rFonts w:ascii="Calibri" w:hAnsi="Calibri"/>
          <w:b/>
          <w:bCs/>
          <w:color w:val="C00000"/>
          <w:spacing w:val="-2"/>
          <w:sz w:val="22"/>
          <w:szCs w:val="22"/>
        </w:rPr>
        <w:t> </w:t>
      </w:r>
    </w:p>
    <w:p w:rsidR="00AB423D" w:rsidRDefault="00AB423D" w:rsidP="00AB423D">
      <w:pPr>
        <w:pStyle w:val="NormalWeb"/>
        <w:shd w:val="clear" w:color="auto" w:fill="17365D"/>
        <w:ind w:left="288" w:right="58" w:hanging="158"/>
        <w:rPr>
          <w:rFonts w:ascii="Calibri" w:hAnsi="Calibri"/>
          <w:color w:val="212121"/>
        </w:rPr>
      </w:pPr>
      <w:r>
        <w:rPr>
          <w:rFonts w:ascii="Arial Black" w:hAnsi="Arial Black"/>
          <w:b/>
          <w:bCs/>
          <w:i/>
          <w:iCs/>
          <w:color w:val="FFFFFF"/>
        </w:rPr>
        <w:t>REGISTRATION</w:t>
      </w:r>
    </w:p>
    <w:p w:rsidR="00AB423D" w:rsidRDefault="00AB423D" w:rsidP="00AB423D">
      <w:pPr>
        <w:pStyle w:val="NormalWeb"/>
        <w:rPr>
          <w:rFonts w:ascii="Calibri" w:hAnsi="Calibri"/>
          <w:color w:val="212121"/>
        </w:rPr>
      </w:pPr>
      <w:r>
        <w:rPr>
          <w:rFonts w:ascii="Arial" w:hAnsi="Arial" w:cs="Arial"/>
          <w:color w:val="323E4F"/>
          <w:spacing w:val="-2"/>
        </w:rPr>
        <w:t> </w:t>
      </w:r>
    </w:p>
    <w:p w:rsidR="00AB423D" w:rsidRDefault="00AB423D" w:rsidP="00AB423D">
      <w:pPr>
        <w:pStyle w:val="NormalWeb"/>
        <w:rPr>
          <w:rFonts w:ascii="Calibri" w:hAnsi="Calibri"/>
          <w:color w:val="212121"/>
        </w:rPr>
      </w:pPr>
      <w:hyperlink r:id="rId5" w:history="1">
        <w:r>
          <w:rPr>
            <w:rStyle w:val="Hyperlink"/>
            <w:rFonts w:ascii="Calibri" w:hAnsi="Calibri" w:cs="Arial"/>
            <w:b/>
            <w:bCs/>
            <w:color w:val="0563C1"/>
            <w:spacing w:val="-3"/>
            <w:sz w:val="22"/>
            <w:szCs w:val="22"/>
          </w:rPr>
          <w:t>REGISTER HERE</w:t>
        </w:r>
      </w:hyperlink>
      <w:r>
        <w:rPr>
          <w:rFonts w:ascii="Calibri" w:hAnsi="Calibri"/>
          <w:b/>
          <w:bCs/>
          <w:color w:val="0563C1"/>
          <w:spacing w:val="-3"/>
          <w:sz w:val="22"/>
          <w:szCs w:val="22"/>
          <w:u w:val="single"/>
        </w:rPr>
        <w:t xml:space="preserve"> </w:t>
      </w:r>
      <w:r>
        <w:rPr>
          <w:rFonts w:ascii="Calibri" w:hAnsi="Calibri"/>
          <w:color w:val="323E4F"/>
          <w:spacing w:val="-2"/>
          <w:sz w:val="22"/>
          <w:szCs w:val="22"/>
        </w:rPr>
        <w:t>for this free webinar; it will also be recorded and archived on the ASPR TRACIE website. Please note that this webinar will be limited to the first 1,000 registrants.</w:t>
      </w:r>
    </w:p>
    <w:p w:rsidR="00AB423D" w:rsidRDefault="00AB423D" w:rsidP="00AB423D">
      <w:pPr>
        <w:pStyle w:val="NormalWeb"/>
        <w:rPr>
          <w:rFonts w:ascii="Calibri" w:hAnsi="Calibri"/>
          <w:color w:val="212121"/>
        </w:rPr>
      </w:pPr>
      <w:r>
        <w:rPr>
          <w:rFonts w:ascii="Calibri" w:hAnsi="Calibri"/>
          <w:color w:val="323E4F"/>
          <w:spacing w:val="-2"/>
          <w:sz w:val="22"/>
          <w:szCs w:val="22"/>
        </w:rPr>
        <w:t> </w:t>
      </w:r>
    </w:p>
    <w:p w:rsidR="00AB423D" w:rsidRDefault="00AB423D" w:rsidP="00AB423D">
      <w:pPr>
        <w:pStyle w:val="NormalWeb"/>
        <w:rPr>
          <w:rFonts w:ascii="Calibri" w:hAnsi="Calibri"/>
          <w:color w:val="212121"/>
        </w:rPr>
      </w:pPr>
      <w:r>
        <w:rPr>
          <w:rFonts w:ascii="Calibri" w:hAnsi="Calibri"/>
          <w:b/>
          <w:bCs/>
          <w:color w:val="323E4F"/>
          <w:spacing w:val="-2"/>
          <w:sz w:val="22"/>
          <w:szCs w:val="22"/>
        </w:rPr>
        <w:t>Audio</w:t>
      </w:r>
      <w:r>
        <w:rPr>
          <w:rFonts w:ascii="Calibri" w:hAnsi="Calibri"/>
          <w:color w:val="323E4F"/>
          <w:spacing w:val="-2"/>
          <w:sz w:val="22"/>
          <w:szCs w:val="22"/>
        </w:rPr>
        <w:t>: You can use your computer microphone and speakers (VoIP) or telephone. A phone number and PIN will be provided after logging into the webinar.</w:t>
      </w:r>
    </w:p>
    <w:p w:rsidR="00AB423D" w:rsidRDefault="00AB423D" w:rsidP="00AB423D">
      <w:pPr>
        <w:pStyle w:val="NormalWeb"/>
        <w:spacing w:after="160" w:line="252" w:lineRule="auto"/>
        <w:rPr>
          <w:rFonts w:ascii="Calibri" w:hAnsi="Calibri"/>
          <w:color w:val="212121"/>
        </w:rPr>
      </w:pPr>
      <w:r>
        <w:rPr>
          <w:rFonts w:ascii="Arial" w:hAnsi="Arial" w:cs="Arial"/>
          <w:color w:val="323E4F"/>
          <w:spacing w:val="-2"/>
          <w:sz w:val="22"/>
          <w:szCs w:val="22"/>
        </w:rPr>
        <w:t> </w:t>
      </w:r>
    </w:p>
    <w:p w:rsidR="00AB423D" w:rsidRDefault="00AB423D" w:rsidP="00AB423D">
      <w:pPr>
        <w:pStyle w:val="NormalWeb"/>
        <w:shd w:val="clear" w:color="auto" w:fill="17365D"/>
        <w:ind w:left="288" w:right="58" w:hanging="158"/>
        <w:rPr>
          <w:rFonts w:ascii="Calibri" w:hAnsi="Calibri"/>
          <w:color w:val="212121"/>
        </w:rPr>
      </w:pPr>
      <w:r>
        <w:rPr>
          <w:rFonts w:ascii="Arial Black" w:hAnsi="Arial Black"/>
          <w:b/>
          <w:bCs/>
          <w:i/>
          <w:iCs/>
          <w:color w:val="FFFFFF"/>
        </w:rPr>
        <w:t>QUESTIONS?</w:t>
      </w:r>
    </w:p>
    <w:p w:rsidR="00AB423D" w:rsidRDefault="00AB423D" w:rsidP="00AB423D">
      <w:pPr>
        <w:pStyle w:val="NormalWeb"/>
        <w:shd w:val="clear" w:color="auto" w:fill="FFFFFF"/>
        <w:spacing w:after="160" w:line="252" w:lineRule="auto"/>
        <w:textAlignment w:val="bottom"/>
        <w:rPr>
          <w:rFonts w:ascii="Calibri" w:hAnsi="Calibri"/>
          <w:color w:val="212121"/>
        </w:rPr>
      </w:pPr>
      <w:r>
        <w:rPr>
          <w:rFonts w:ascii="Calibri" w:hAnsi="Calibri"/>
          <w:color w:val="323E4F"/>
          <w:spacing w:val="-2"/>
          <w:sz w:val="22"/>
          <w:szCs w:val="22"/>
        </w:rPr>
        <w:t xml:space="preserve">Department of Health and Human Services </w:t>
      </w:r>
      <w:r>
        <w:rPr>
          <w:rFonts w:ascii="Calibri" w:hAnsi="Calibri"/>
          <w:b/>
          <w:bCs/>
          <w:color w:val="323E4F"/>
          <w:spacing w:val="-2"/>
          <w:sz w:val="22"/>
          <w:szCs w:val="22"/>
        </w:rPr>
        <w:t>(HHS)</w:t>
      </w:r>
      <w:r>
        <w:rPr>
          <w:rFonts w:ascii="Calibri" w:hAnsi="Calibri"/>
          <w:color w:val="323E4F"/>
          <w:spacing w:val="-2"/>
          <w:sz w:val="22"/>
          <w:szCs w:val="22"/>
        </w:rPr>
        <w:t xml:space="preserve">, Assistant Secretary for Preparedness and Response </w:t>
      </w:r>
      <w:r>
        <w:rPr>
          <w:rFonts w:ascii="Calibri" w:hAnsi="Calibri"/>
          <w:b/>
          <w:bCs/>
          <w:color w:val="323E4F"/>
          <w:spacing w:val="-2"/>
          <w:sz w:val="22"/>
          <w:szCs w:val="22"/>
        </w:rPr>
        <w:t>(ASPR)</w:t>
      </w:r>
    </w:p>
    <w:p w:rsidR="00AB423D" w:rsidRDefault="00AB423D" w:rsidP="00AB423D">
      <w:pPr>
        <w:pStyle w:val="NormalWeb"/>
        <w:shd w:val="clear" w:color="auto" w:fill="FFFFFF"/>
        <w:spacing w:after="160" w:line="252" w:lineRule="auto"/>
        <w:textAlignment w:val="bottom"/>
        <w:rPr>
          <w:rFonts w:ascii="Calibri" w:hAnsi="Calibri"/>
          <w:color w:val="212121"/>
        </w:rPr>
      </w:pPr>
      <w:r>
        <w:rPr>
          <w:rFonts w:ascii="Calibri" w:hAnsi="Calibri"/>
          <w:color w:val="FF0000"/>
          <w:spacing w:val="-2"/>
          <w:sz w:val="22"/>
          <w:szCs w:val="22"/>
        </w:rPr>
        <w:t>T</w:t>
      </w:r>
      <w:r>
        <w:rPr>
          <w:rFonts w:ascii="Calibri" w:hAnsi="Calibri"/>
          <w:color w:val="323E4F"/>
          <w:spacing w:val="-2"/>
          <w:sz w:val="22"/>
          <w:szCs w:val="22"/>
        </w:rPr>
        <w:t xml:space="preserve">echnical </w:t>
      </w:r>
      <w:r>
        <w:rPr>
          <w:rFonts w:ascii="Calibri" w:hAnsi="Calibri"/>
          <w:color w:val="FF0000"/>
          <w:spacing w:val="-2"/>
          <w:sz w:val="22"/>
          <w:szCs w:val="22"/>
        </w:rPr>
        <w:t>R</w:t>
      </w:r>
      <w:r>
        <w:rPr>
          <w:rFonts w:ascii="Calibri" w:hAnsi="Calibri"/>
          <w:color w:val="323E4F"/>
          <w:spacing w:val="-2"/>
          <w:sz w:val="22"/>
          <w:szCs w:val="22"/>
        </w:rPr>
        <w:t xml:space="preserve">esources, </w:t>
      </w:r>
      <w:r>
        <w:rPr>
          <w:rFonts w:ascii="Calibri" w:hAnsi="Calibri"/>
          <w:color w:val="FF0000"/>
          <w:spacing w:val="-2"/>
          <w:sz w:val="22"/>
          <w:szCs w:val="22"/>
        </w:rPr>
        <w:t>A</w:t>
      </w:r>
      <w:r>
        <w:rPr>
          <w:rFonts w:ascii="Calibri" w:hAnsi="Calibri"/>
          <w:color w:val="323E4F"/>
          <w:spacing w:val="-2"/>
          <w:sz w:val="22"/>
          <w:szCs w:val="22"/>
        </w:rPr>
        <w:t xml:space="preserve">ssistance </w:t>
      </w:r>
      <w:r>
        <w:rPr>
          <w:rFonts w:ascii="Calibri" w:hAnsi="Calibri"/>
          <w:color w:val="FF0000"/>
          <w:spacing w:val="-2"/>
          <w:sz w:val="22"/>
          <w:szCs w:val="22"/>
        </w:rPr>
        <w:t>C</w:t>
      </w:r>
      <w:r>
        <w:rPr>
          <w:rFonts w:ascii="Calibri" w:hAnsi="Calibri"/>
          <w:color w:val="323E4F"/>
          <w:spacing w:val="-2"/>
          <w:sz w:val="22"/>
          <w:szCs w:val="22"/>
        </w:rPr>
        <w:t xml:space="preserve">enter, &amp; </w:t>
      </w:r>
      <w:r>
        <w:rPr>
          <w:rFonts w:ascii="Calibri" w:hAnsi="Calibri"/>
          <w:color w:val="FF0000"/>
          <w:spacing w:val="-2"/>
          <w:sz w:val="22"/>
          <w:szCs w:val="22"/>
        </w:rPr>
        <w:t>I</w:t>
      </w:r>
      <w:r>
        <w:rPr>
          <w:rFonts w:ascii="Calibri" w:hAnsi="Calibri"/>
          <w:color w:val="323E4F"/>
          <w:spacing w:val="-2"/>
          <w:sz w:val="22"/>
          <w:szCs w:val="22"/>
        </w:rPr>
        <w:t xml:space="preserve">nformation </w:t>
      </w:r>
      <w:r>
        <w:rPr>
          <w:rFonts w:ascii="Calibri" w:hAnsi="Calibri"/>
          <w:color w:val="FF0000"/>
          <w:spacing w:val="-2"/>
          <w:sz w:val="22"/>
          <w:szCs w:val="22"/>
        </w:rPr>
        <w:t>E</w:t>
      </w:r>
      <w:r>
        <w:rPr>
          <w:rFonts w:ascii="Calibri" w:hAnsi="Calibri"/>
          <w:color w:val="323E4F"/>
          <w:spacing w:val="-2"/>
          <w:sz w:val="22"/>
          <w:szCs w:val="22"/>
        </w:rPr>
        <w:t xml:space="preserve">xchange </w:t>
      </w:r>
      <w:r>
        <w:rPr>
          <w:rFonts w:ascii="Calibri" w:hAnsi="Calibri"/>
          <w:b/>
          <w:bCs/>
          <w:color w:val="FF0000"/>
          <w:spacing w:val="-2"/>
          <w:sz w:val="22"/>
          <w:szCs w:val="22"/>
        </w:rPr>
        <w:t>(TRACIE)</w:t>
      </w:r>
    </w:p>
    <w:p w:rsidR="00AB423D" w:rsidRDefault="00AB423D" w:rsidP="00AB423D">
      <w:pPr>
        <w:pStyle w:val="NormalWeb"/>
        <w:shd w:val="clear" w:color="auto" w:fill="FFFFFF"/>
        <w:spacing w:after="160" w:line="252" w:lineRule="auto"/>
        <w:textAlignment w:val="bottom"/>
        <w:rPr>
          <w:rFonts w:ascii="Calibri" w:hAnsi="Calibri"/>
          <w:color w:val="212121"/>
        </w:rPr>
      </w:pPr>
      <w:r>
        <w:rPr>
          <w:rFonts w:ascii="Calibri" w:hAnsi="Calibri"/>
          <w:color w:val="323E4F"/>
          <w:spacing w:val="-2"/>
          <w:sz w:val="22"/>
          <w:szCs w:val="22"/>
        </w:rPr>
        <w:t>1844-5-TRACIE (587-2243) |</w:t>
      </w:r>
      <w:r>
        <w:rPr>
          <w:rFonts w:ascii="Arial" w:hAnsi="Arial" w:cs="Arial"/>
          <w:b/>
          <w:bCs/>
          <w:color w:val="000000"/>
          <w:sz w:val="20"/>
          <w:szCs w:val="20"/>
        </w:rPr>
        <w:t> </w:t>
      </w:r>
      <w:hyperlink r:id="rId6" w:history="1">
        <w:r>
          <w:rPr>
            <w:rStyle w:val="Hyperlink"/>
            <w:rFonts w:ascii="Calibri" w:hAnsi="Calibri"/>
            <w:sz w:val="22"/>
            <w:szCs w:val="22"/>
          </w:rPr>
          <w:t>askasprtracie@hhs.gov</w:t>
        </w:r>
      </w:hyperlink>
      <w:r>
        <w:rPr>
          <w:rFonts w:ascii="Calibri" w:hAnsi="Calibri"/>
          <w:color w:val="000000"/>
          <w:sz w:val="22"/>
          <w:szCs w:val="22"/>
        </w:rPr>
        <w:t> </w:t>
      </w:r>
      <w:r>
        <w:rPr>
          <w:rFonts w:ascii="Calibri" w:hAnsi="Calibri"/>
          <w:color w:val="323E4F"/>
          <w:spacing w:val="-2"/>
          <w:sz w:val="22"/>
          <w:szCs w:val="22"/>
        </w:rPr>
        <w:t>|</w:t>
      </w:r>
      <w:r>
        <w:rPr>
          <w:rFonts w:ascii="Calibri" w:hAnsi="Calibri"/>
          <w:color w:val="000000"/>
          <w:sz w:val="22"/>
          <w:szCs w:val="22"/>
        </w:rPr>
        <w:t xml:space="preserve"> </w:t>
      </w:r>
      <w:hyperlink r:id="rId7" w:history="1">
        <w:r>
          <w:rPr>
            <w:rStyle w:val="Hyperlink"/>
            <w:rFonts w:ascii="Calibri" w:hAnsi="Calibri"/>
            <w:sz w:val="22"/>
            <w:szCs w:val="22"/>
          </w:rPr>
          <w:t>asprtracie.hhs.gov</w:t>
        </w:r>
      </w:hyperlink>
    </w:p>
    <w:p w:rsidR="00AB423D" w:rsidRDefault="00AB423D" w:rsidP="00AB423D">
      <w:pPr>
        <w:pStyle w:val="NormalWeb"/>
        <w:shd w:val="clear" w:color="auto" w:fill="FFFFFF"/>
        <w:spacing w:after="160" w:line="252" w:lineRule="auto"/>
        <w:textAlignment w:val="bottom"/>
        <w:rPr>
          <w:rFonts w:ascii="Calibri" w:hAnsi="Calibri"/>
          <w:color w:val="212121"/>
        </w:rPr>
      </w:pPr>
      <w:r>
        <w:rPr>
          <w:rFonts w:ascii="Calibri" w:hAnsi="Calibri"/>
          <w:i/>
          <w:iCs/>
          <w:color w:val="000000"/>
          <w:sz w:val="18"/>
          <w:szCs w:val="18"/>
        </w:rPr>
        <w:t>ASPR TRACIE is a healthcare emergency preparedness information gateway that ensures all stakeholders—at the federal, state, local, tribal, and territorial government levels and non- and for-profit organizations—have access to information and resources to improve preparedness, response, recovery, and mitigation efforts. </w:t>
      </w:r>
    </w:p>
    <w:p w:rsidR="00AB423D" w:rsidRDefault="00AB423D" w:rsidP="00AB423D">
      <w:pPr>
        <w:pStyle w:val="NormalWeb"/>
        <w:spacing w:after="160" w:line="252" w:lineRule="auto"/>
        <w:rPr>
          <w:rFonts w:ascii="Calibri" w:hAnsi="Calibri"/>
          <w:color w:val="212121"/>
        </w:rPr>
      </w:pPr>
      <w:r>
        <w:rPr>
          <w:rFonts w:ascii="Calibri" w:hAnsi="Calibri"/>
          <w:color w:val="000000"/>
          <w:sz w:val="22"/>
          <w:szCs w:val="22"/>
        </w:rPr>
        <w:t> </w:t>
      </w:r>
    </w:p>
    <w:p w:rsidR="00D74F7F" w:rsidRDefault="00D74F7F">
      <w:bookmarkStart w:id="0" w:name="_GoBack"/>
      <w:bookmarkEnd w:id="0"/>
    </w:p>
    <w:sectPr w:rsidR="00D7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3D"/>
    <w:rsid w:val="00AB423D"/>
    <w:rsid w:val="00D7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A106-678E-4D5E-A1D1-4FDBE5C0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23D"/>
    <w:rPr>
      <w:color w:val="0000FF"/>
      <w:u w:val="single"/>
    </w:rPr>
  </w:style>
  <w:style w:type="paragraph" w:styleId="NormalWeb">
    <w:name w:val="Normal (Web)"/>
    <w:basedOn w:val="Normal"/>
    <w:uiPriority w:val="99"/>
    <w:semiHidden/>
    <w:unhideWhenUsed/>
    <w:rsid w:val="00AB42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asprtracie.hhs.gov_&amp;d=DQMFAw&amp;c=4sF48jRmVAe_CH-k9mXYXEGfSnM3bY53YSKuLUQRxhA&amp;r=YbIJidgmcwhty4VrHcn1kmY1WbYBFjONB61iK-Ubmgg&amp;m=n3M0_8WwFgOO2TZ4Z89cERqlBarGxC7BUhtjGpMFWpQ&amp;s=aH9ITM9qktwFnXv8VVdWdeDzogICGOp9NENK0MPK4ik&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asprtracie@hhs.gov" TargetMode="External"/><Relationship Id="rId5" Type="http://schemas.openxmlformats.org/officeDocument/2006/relationships/hyperlink" Target="https://urldefense.proofpoint.com/v2/url?u=https-3A__attendee.gotowebinar.com_register_8778331891365614082&amp;d=DQMFAw&amp;c=4sF48jRmVAe_CH-k9mXYXEGfSnM3bY53YSKuLUQRxhA&amp;r=YbIJidgmcwhty4VrHcn1kmY1WbYBFjONB61iK-Ubmgg&amp;m=n3M0_8WwFgOO2TZ4Z89cERqlBarGxC7BUhtjGpMFWpQ&amp;s=w7JTukrRqupxxmAP9rqS9UvN56FSNV5isHIs3Z45mGg&amp;e=" TargetMode="External"/><Relationship Id="rId4" Type="http://schemas.openxmlformats.org/officeDocument/2006/relationships/hyperlink" Target="https://urldefense.proofpoint.com/v2/url?u=https-3A__wg.aspr.hhs.gov_aspr_hpp_Documents_Coalition-2520Surge-2520Test-2520Manual.zip&amp;d=DQMFAw&amp;c=4sF48jRmVAe_CH-k9mXYXEGfSnM3bY53YSKuLUQRxhA&amp;r=YbIJidgmcwhty4VrHcn1kmY1WbYBFjONB61iK-Ubmgg&amp;m=n3M0_8WwFgOO2TZ4Z89cERqlBarGxC7BUhtjGpMFWpQ&amp;s=jrOxVUN59VbfqMoecAJf02MIw0F1-TfMVHt-tonE8fY&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Eileen</dc:creator>
  <cp:keywords/>
  <dc:description/>
  <cp:lastModifiedBy>Spezio, Eileen</cp:lastModifiedBy>
  <cp:revision>1</cp:revision>
  <dcterms:created xsi:type="dcterms:W3CDTF">2017-01-19T18:48:00Z</dcterms:created>
  <dcterms:modified xsi:type="dcterms:W3CDTF">2017-01-19T18:49:00Z</dcterms:modified>
</cp:coreProperties>
</file>