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51C33" w14:textId="65E4C595" w:rsidR="004F7DFE" w:rsidRPr="00DC00BC" w:rsidRDefault="004F7DFE" w:rsidP="004F7DFE">
      <w:pPr>
        <w:shd w:val="clear" w:color="auto" w:fill="17365D"/>
        <w:spacing w:after="120"/>
        <w:jc w:val="center"/>
        <w:rPr>
          <w:rFonts w:ascii="Calibri" w:hAnsi="Calibri" w:cs="Calibri"/>
          <w:b/>
          <w:bCs/>
          <w:i/>
          <w:iCs/>
          <w:sz w:val="40"/>
          <w:szCs w:val="40"/>
        </w:rPr>
      </w:pPr>
      <w:r w:rsidRPr="00DC00BC">
        <w:rPr>
          <w:rFonts w:ascii="Calibri" w:hAnsi="Calibri" w:cs="Calibri"/>
          <w:b/>
          <w:bCs/>
          <w:i/>
          <w:iCs/>
          <w:sz w:val="40"/>
          <w:szCs w:val="40"/>
        </w:rPr>
        <w:t>Free Emergency Preparedness Webinar</w:t>
      </w:r>
    </w:p>
    <w:p w14:paraId="49A05913" w14:textId="107E8C96" w:rsidR="00834E96" w:rsidRDefault="00834E96" w:rsidP="00834E96">
      <w:pPr>
        <w:spacing w:after="120"/>
        <w:jc w:val="both"/>
        <w:rPr>
          <w:rFonts w:ascii="Calibri" w:hAnsi="Calibri" w:cs="Calibri"/>
          <w:b/>
          <w:bCs/>
          <w:sz w:val="22"/>
          <w:szCs w:val="22"/>
        </w:rPr>
      </w:pPr>
      <w:bookmarkStart w:id="0" w:name="_Hlk183592841"/>
      <w:r>
        <w:rPr>
          <w:rFonts w:ascii="Calibri" w:hAnsi="Calibri" w:cs="Calibri"/>
          <w:b/>
          <w:bCs/>
          <w:sz w:val="22"/>
          <w:szCs w:val="22"/>
        </w:rPr>
        <w:t>Date:</w:t>
      </w:r>
      <w:r>
        <w:rPr>
          <w:rFonts w:ascii="Calibri" w:hAnsi="Calibri" w:cs="Calibri"/>
          <w:b/>
          <w:bCs/>
          <w:sz w:val="22"/>
          <w:szCs w:val="22"/>
        </w:rPr>
        <w:tab/>
        <w:t xml:space="preserve">June 17, </w:t>
      </w:r>
      <w:proofErr w:type="gramStart"/>
      <w:r>
        <w:rPr>
          <w:rFonts w:ascii="Calibri" w:hAnsi="Calibri" w:cs="Calibri"/>
          <w:b/>
          <w:bCs/>
          <w:sz w:val="22"/>
          <w:szCs w:val="22"/>
        </w:rPr>
        <w:t>2026  8</w:t>
      </w:r>
      <w:proofErr w:type="gramEnd"/>
      <w:r>
        <w:rPr>
          <w:rFonts w:ascii="Calibri" w:hAnsi="Calibri" w:cs="Calibri"/>
          <w:b/>
          <w:bCs/>
          <w:sz w:val="22"/>
          <w:szCs w:val="22"/>
        </w:rPr>
        <w:t>:00-9:30PM</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1.5 NAB Credits</w:t>
      </w:r>
    </w:p>
    <w:p w14:paraId="4ED03012" w14:textId="77777777" w:rsidR="00834E96" w:rsidRDefault="00834E96" w:rsidP="00834E96">
      <w:pPr>
        <w:spacing w:after="120"/>
        <w:jc w:val="both"/>
        <w:rPr>
          <w:rFonts w:ascii="Calibri" w:hAnsi="Calibri" w:cs="Calibri"/>
          <w:b/>
          <w:bCs/>
          <w:sz w:val="22"/>
          <w:szCs w:val="22"/>
        </w:rPr>
      </w:pPr>
      <w:r>
        <w:rPr>
          <w:rFonts w:ascii="Calibri" w:hAnsi="Calibri" w:cs="Calibri"/>
          <w:b/>
          <w:bCs/>
          <w:sz w:val="22"/>
          <w:szCs w:val="22"/>
        </w:rPr>
        <w:t>Speaker</w:t>
      </w:r>
      <w:proofErr w:type="gramStart"/>
      <w:r>
        <w:rPr>
          <w:rFonts w:ascii="Calibri" w:hAnsi="Calibri" w:cs="Calibri"/>
          <w:b/>
          <w:bCs/>
          <w:sz w:val="22"/>
          <w:szCs w:val="22"/>
        </w:rPr>
        <w:t>:  Zachary</w:t>
      </w:r>
      <w:proofErr w:type="gramEnd"/>
      <w:r>
        <w:rPr>
          <w:rFonts w:ascii="Calibri" w:hAnsi="Calibri" w:cs="Calibri"/>
          <w:b/>
          <w:bCs/>
          <w:sz w:val="22"/>
          <w:szCs w:val="22"/>
        </w:rPr>
        <w:t xml:space="preserve"> Goldfarb</w:t>
      </w:r>
    </w:p>
    <w:p w14:paraId="0624B046" w14:textId="50DA7C26" w:rsidR="00834E96" w:rsidRPr="0029788B" w:rsidRDefault="00834E96" w:rsidP="00834E96">
      <w:pPr>
        <w:spacing w:after="120"/>
        <w:jc w:val="both"/>
        <w:rPr>
          <w:rFonts w:ascii="Calibri" w:hAnsi="Calibri" w:cs="Calibri"/>
          <w:sz w:val="22"/>
          <w:szCs w:val="22"/>
        </w:rPr>
      </w:pPr>
      <w:r>
        <w:rPr>
          <w:rFonts w:ascii="Calibri" w:hAnsi="Calibri" w:cs="Calibri"/>
          <w:b/>
          <w:bCs/>
          <w:sz w:val="22"/>
          <w:szCs w:val="22"/>
        </w:rPr>
        <w:t xml:space="preserve">Title:  </w:t>
      </w:r>
      <w:r w:rsidRPr="00834E96">
        <w:rPr>
          <w:rFonts w:ascii="Calibri" w:hAnsi="Calibri" w:cs="Calibri"/>
          <w:b/>
          <w:bCs/>
          <w:sz w:val="22"/>
          <w:szCs w:val="22"/>
        </w:rPr>
        <w:t>Seconds to Safety: Leadership Lessons from the 2025 Fall River and Bristol Tragedies</w:t>
      </w:r>
    </w:p>
    <w:p w14:paraId="6E32D277" w14:textId="01D29235" w:rsidR="00834E96" w:rsidRPr="00834E96" w:rsidRDefault="00954078" w:rsidP="00834E96">
      <w:pPr>
        <w:spacing w:after="120"/>
        <w:jc w:val="both"/>
        <w:rPr>
          <w:rFonts w:ascii="Calibri" w:hAnsi="Calibri" w:cs="Calibri"/>
          <w:b/>
          <w:bCs/>
          <w:sz w:val="22"/>
          <w:szCs w:val="22"/>
        </w:rPr>
      </w:pPr>
      <w:r>
        <w:rPr>
          <w:rFonts w:ascii="Calibri" w:hAnsi="Calibri" w:cs="Calibri"/>
          <w:b/>
          <w:bCs/>
          <w:sz w:val="22"/>
          <w:szCs w:val="22"/>
        </w:rPr>
        <w:t xml:space="preserve">Registration Link:  </w:t>
      </w:r>
      <w:hyperlink r:id="rId5" w:history="1">
        <w:r w:rsidRPr="00954078">
          <w:rPr>
            <w:rStyle w:val="Hyperlink"/>
            <w:rFonts w:ascii="Calibri" w:hAnsi="Calibri" w:cs="Calibri"/>
            <w:b/>
            <w:bCs/>
            <w:sz w:val="22"/>
            <w:szCs w:val="22"/>
          </w:rPr>
          <w:t>https://us02web.zoom.us/meeting/register/iiF1-Xs5SjyMqSLGF-idRw</w:t>
        </w:r>
      </w:hyperlink>
    </w:p>
    <w:p w14:paraId="2EC11312" w14:textId="2E0330E4" w:rsidR="00834E96" w:rsidRPr="00834E96" w:rsidRDefault="00834E96" w:rsidP="00834E96">
      <w:pPr>
        <w:spacing w:after="120"/>
        <w:jc w:val="both"/>
        <w:rPr>
          <w:rFonts w:ascii="Calibri" w:hAnsi="Calibri" w:cs="Calibri"/>
          <w:sz w:val="22"/>
          <w:szCs w:val="22"/>
        </w:rPr>
      </w:pPr>
      <w:r w:rsidRPr="00834E96">
        <w:rPr>
          <w:rFonts w:ascii="Calibri" w:hAnsi="Calibri" w:cs="Calibri"/>
          <w:sz w:val="22"/>
          <w:szCs w:val="22"/>
        </w:rPr>
        <w:t xml:space="preserve">In the high-stakes world of New York long-term care, the difference between a controlled drill and a catastrophic loss of life often hinges on a single decision made in a matter of minutes. The tragic Bristol Health and Rehab Center explosion on December 23, 2025, and </w:t>
      </w:r>
      <w:proofErr w:type="gramStart"/>
      <w:r w:rsidRPr="00834E96">
        <w:rPr>
          <w:rFonts w:ascii="Calibri" w:hAnsi="Calibri" w:cs="Calibri"/>
          <w:sz w:val="22"/>
          <w:szCs w:val="22"/>
        </w:rPr>
        <w:t>the July</w:t>
      </w:r>
      <w:proofErr w:type="gramEnd"/>
      <w:r w:rsidRPr="00834E96">
        <w:rPr>
          <w:rFonts w:ascii="Calibri" w:hAnsi="Calibri" w:cs="Calibri"/>
          <w:sz w:val="22"/>
          <w:szCs w:val="22"/>
        </w:rPr>
        <w:t xml:space="preserve"> 13, 2025, Fall River fire served as a sobering "stress test" for the entire industry.  This session moves beyond the mundane "checkbox" approach to life safety, challenging SNF and ALF leaders to confront the "invisible" infrastructure failures and clinical human factors that turn manageable hazards into national headlines.</w:t>
      </w:r>
    </w:p>
    <w:p w14:paraId="40056C7C" w14:textId="77777777" w:rsidR="00834E96" w:rsidRPr="00834E96" w:rsidRDefault="00834E96" w:rsidP="00834E96">
      <w:pPr>
        <w:spacing w:after="120"/>
        <w:jc w:val="both"/>
        <w:rPr>
          <w:rFonts w:ascii="Calibri" w:hAnsi="Calibri" w:cs="Calibri"/>
          <w:sz w:val="22"/>
          <w:szCs w:val="22"/>
        </w:rPr>
      </w:pPr>
      <w:r w:rsidRPr="00834E96">
        <w:rPr>
          <w:rFonts w:ascii="Calibri" w:hAnsi="Calibri" w:cs="Calibri"/>
          <w:sz w:val="22"/>
          <w:szCs w:val="22"/>
        </w:rPr>
        <w:t>Through a forensic analysis of NTSB timelines and structural failure points, we will dissect the fatal three-hour "window of opportunity" in Bristol and the rapid, oxygen-fueled fire spread in Fall River. This presentation provides a multi-disciplinary blueprint for survival, synchronizing the strategic command of Administrators, the clinical triage expertise of Directors of Nursing, and the technical vigilance of Facility Managers. We will pivot from the standard "defend-in-place" mentality to a sophisticated, resident-centric evacuation model—one that accounts for the complex realities of cognitive decline and bariatric needs during the chaos of a midnight egress.</w:t>
      </w:r>
    </w:p>
    <w:p w14:paraId="2B1FADCF" w14:textId="77777777" w:rsidR="00834E96" w:rsidRPr="00834E96" w:rsidRDefault="00834E96" w:rsidP="00834E96">
      <w:pPr>
        <w:spacing w:after="120"/>
        <w:jc w:val="both"/>
        <w:rPr>
          <w:rFonts w:ascii="Calibri" w:hAnsi="Calibri" w:cs="Calibri"/>
          <w:sz w:val="22"/>
          <w:szCs w:val="22"/>
        </w:rPr>
      </w:pPr>
      <w:r w:rsidRPr="00834E96">
        <w:rPr>
          <w:rFonts w:ascii="Calibri" w:hAnsi="Calibri" w:cs="Calibri"/>
          <w:sz w:val="22"/>
          <w:szCs w:val="22"/>
        </w:rPr>
        <w:t>This isn't just another lecture on fire codes; it is a strategic roadmap for leadership under fire. You will walk away with an actionable "Monday Morning" audit list designed to harden your facility against gas line vulnerabilities, oxygen-enriched environments, and communication breakdowns. Join us to transform your emergency preparedness from a dusty binder on a shelf into a living, breathing culture of safety that protects both your residents and your professional legacy.</w:t>
      </w:r>
    </w:p>
    <w:p w14:paraId="795BB317" w14:textId="77777777" w:rsidR="00834E96" w:rsidRPr="00834E96" w:rsidRDefault="00834E96" w:rsidP="00834E96">
      <w:pPr>
        <w:spacing w:after="120"/>
        <w:jc w:val="both"/>
        <w:rPr>
          <w:rFonts w:ascii="Calibri" w:hAnsi="Calibri" w:cs="Calibri"/>
          <w:sz w:val="22"/>
          <w:szCs w:val="22"/>
        </w:rPr>
      </w:pPr>
    </w:p>
    <w:p w14:paraId="4DF271D7" w14:textId="77777777" w:rsidR="00834E96" w:rsidRPr="00834E96" w:rsidRDefault="00834E96" w:rsidP="00834E96">
      <w:pPr>
        <w:spacing w:after="120"/>
        <w:jc w:val="both"/>
        <w:rPr>
          <w:rFonts w:ascii="Calibri" w:hAnsi="Calibri" w:cs="Calibri"/>
          <w:sz w:val="22"/>
          <w:szCs w:val="22"/>
        </w:rPr>
      </w:pPr>
      <w:r w:rsidRPr="00834E96">
        <w:rPr>
          <w:rFonts w:ascii="Calibri" w:hAnsi="Calibri" w:cs="Calibri"/>
          <w:sz w:val="22"/>
          <w:szCs w:val="22"/>
        </w:rPr>
        <w:t>Learning Objectives</w:t>
      </w:r>
    </w:p>
    <w:p w14:paraId="690621F0" w14:textId="77777777" w:rsidR="00834E96" w:rsidRPr="00834E96" w:rsidRDefault="00834E96" w:rsidP="00834E96">
      <w:pPr>
        <w:spacing w:after="120"/>
        <w:jc w:val="both"/>
        <w:rPr>
          <w:rFonts w:ascii="Calibri" w:hAnsi="Calibri" w:cs="Calibri"/>
          <w:sz w:val="22"/>
          <w:szCs w:val="22"/>
        </w:rPr>
      </w:pPr>
      <w:proofErr w:type="gramStart"/>
      <w:r w:rsidRPr="00834E96">
        <w:rPr>
          <w:rFonts w:ascii="Calibri" w:hAnsi="Calibri" w:cs="Calibri"/>
          <w:sz w:val="22"/>
          <w:szCs w:val="22"/>
        </w:rPr>
        <w:t>By</w:t>
      </w:r>
      <w:proofErr w:type="gramEnd"/>
      <w:r w:rsidRPr="00834E96">
        <w:rPr>
          <w:rFonts w:ascii="Calibri" w:hAnsi="Calibri" w:cs="Calibri"/>
          <w:sz w:val="22"/>
          <w:szCs w:val="22"/>
        </w:rPr>
        <w:t xml:space="preserve"> the end of this session, participants will be able to:</w:t>
      </w:r>
    </w:p>
    <w:p w14:paraId="2B50F66A" w14:textId="77777777" w:rsidR="00834E96" w:rsidRPr="00834E96" w:rsidRDefault="00834E96" w:rsidP="00834E96">
      <w:pPr>
        <w:numPr>
          <w:ilvl w:val="0"/>
          <w:numId w:val="5"/>
        </w:numPr>
        <w:spacing w:after="120"/>
        <w:jc w:val="both"/>
        <w:rPr>
          <w:rFonts w:ascii="Calibri" w:hAnsi="Calibri" w:cs="Calibri"/>
          <w:sz w:val="22"/>
          <w:szCs w:val="22"/>
        </w:rPr>
      </w:pPr>
      <w:r w:rsidRPr="00834E96">
        <w:rPr>
          <w:rFonts w:ascii="Calibri" w:hAnsi="Calibri" w:cs="Calibri"/>
          <w:sz w:val="22"/>
          <w:szCs w:val="22"/>
        </w:rPr>
        <w:t>Audit Gas &amp; Utility Response Protocols: Analyze the NTSB's detailed timeline of the December 23, 2025, Bristol explosion to identify the fatal 180-minute delay between the first reported odor (11:00 AM) and the blast (2:15 PM), establishing "zero-tolerance" evacuation triggers for gas leaks.</w:t>
      </w:r>
    </w:p>
    <w:p w14:paraId="5C0A0E82" w14:textId="77777777" w:rsidR="00834E96" w:rsidRPr="00834E96" w:rsidRDefault="00834E96" w:rsidP="00834E96">
      <w:pPr>
        <w:numPr>
          <w:ilvl w:val="0"/>
          <w:numId w:val="5"/>
        </w:numPr>
        <w:spacing w:after="120"/>
        <w:jc w:val="both"/>
        <w:rPr>
          <w:rFonts w:ascii="Calibri" w:hAnsi="Calibri" w:cs="Calibri"/>
          <w:sz w:val="22"/>
          <w:szCs w:val="22"/>
        </w:rPr>
      </w:pPr>
      <w:r w:rsidRPr="00834E96">
        <w:rPr>
          <w:rFonts w:ascii="Calibri" w:hAnsi="Calibri" w:cs="Calibri"/>
          <w:sz w:val="22"/>
          <w:szCs w:val="22"/>
        </w:rPr>
        <w:t>Evaluate "Defend-in-Place" vs. Rapid Egress: Using the Fall River Gabriel House fire as a case study, determine how wood-frame construction and oxygen-enriched environments accelerate fire spread, necessitating an immediate transition from "defend-in-place" to full evacuation.</w:t>
      </w:r>
    </w:p>
    <w:p w14:paraId="08DB6E71" w14:textId="77777777" w:rsidR="00834E96" w:rsidRPr="00834E96" w:rsidRDefault="00834E96" w:rsidP="00834E96">
      <w:pPr>
        <w:numPr>
          <w:ilvl w:val="0"/>
          <w:numId w:val="5"/>
        </w:numPr>
        <w:spacing w:after="120"/>
        <w:jc w:val="both"/>
        <w:rPr>
          <w:rFonts w:ascii="Calibri" w:hAnsi="Calibri" w:cs="Calibri"/>
          <w:sz w:val="22"/>
          <w:szCs w:val="22"/>
        </w:rPr>
      </w:pPr>
      <w:r w:rsidRPr="00834E96">
        <w:rPr>
          <w:rFonts w:ascii="Calibri" w:hAnsi="Calibri" w:cs="Calibri"/>
          <w:sz w:val="22"/>
          <w:szCs w:val="22"/>
        </w:rPr>
        <w:t xml:space="preserve">Identify Infrastructure Vulnerabilities: Assess the specific risks posed by indoor rotary </w:t>
      </w:r>
      <w:proofErr w:type="gramStart"/>
      <w:r w:rsidRPr="00834E96">
        <w:rPr>
          <w:rFonts w:ascii="Calibri" w:hAnsi="Calibri" w:cs="Calibri"/>
          <w:sz w:val="22"/>
          <w:szCs w:val="22"/>
        </w:rPr>
        <w:t>meter sets</w:t>
      </w:r>
      <w:proofErr w:type="gramEnd"/>
      <w:r w:rsidRPr="00834E96">
        <w:rPr>
          <w:rFonts w:ascii="Calibri" w:hAnsi="Calibri" w:cs="Calibri"/>
          <w:sz w:val="22"/>
          <w:szCs w:val="22"/>
        </w:rPr>
        <w:t xml:space="preserve"> (a key factor in the Bristol investigation) and malfunctioning sprinkler systems to create a pre-emptive maintenance plan for aging New York facilities.</w:t>
      </w:r>
    </w:p>
    <w:p w14:paraId="65289707" w14:textId="77777777" w:rsidR="00834E96" w:rsidRPr="00834E96" w:rsidRDefault="00834E96" w:rsidP="00834E96">
      <w:pPr>
        <w:numPr>
          <w:ilvl w:val="0"/>
          <w:numId w:val="5"/>
        </w:numPr>
        <w:spacing w:after="120"/>
        <w:jc w:val="both"/>
        <w:rPr>
          <w:rFonts w:ascii="Calibri" w:hAnsi="Calibri" w:cs="Calibri"/>
          <w:sz w:val="22"/>
          <w:szCs w:val="22"/>
        </w:rPr>
      </w:pPr>
      <w:r w:rsidRPr="00834E96">
        <w:rPr>
          <w:rFonts w:ascii="Calibri" w:hAnsi="Calibri" w:cs="Calibri"/>
          <w:sz w:val="22"/>
          <w:szCs w:val="22"/>
        </w:rPr>
        <w:t>Manage Medical Oxygen Hazards: Formulate a clinical safety strategy for resident rooms using oxygen concentrators, focusing on how medical oxygen can turn a localized fire into a catastrophic, fast-moving inferno.</w:t>
      </w:r>
    </w:p>
    <w:p w14:paraId="6136C74D" w14:textId="77777777" w:rsidR="00834E96" w:rsidRPr="00834E96" w:rsidRDefault="00834E96" w:rsidP="00834E96">
      <w:pPr>
        <w:numPr>
          <w:ilvl w:val="0"/>
          <w:numId w:val="5"/>
        </w:numPr>
        <w:spacing w:after="120"/>
        <w:jc w:val="both"/>
        <w:rPr>
          <w:rFonts w:ascii="Calibri" w:hAnsi="Calibri" w:cs="Calibri"/>
          <w:sz w:val="22"/>
          <w:szCs w:val="22"/>
        </w:rPr>
      </w:pPr>
      <w:r w:rsidRPr="00834E96">
        <w:rPr>
          <w:rFonts w:ascii="Calibri" w:hAnsi="Calibri" w:cs="Calibri"/>
          <w:sz w:val="22"/>
          <w:szCs w:val="22"/>
        </w:rPr>
        <w:lastRenderedPageBreak/>
        <w:t xml:space="preserve">Synchronize Multi-Disciplinary Command: Define distinct leadership duties during the "Golden 15" minutes of a crisis—specifically the Administrator’s authority to override utility "repair" timelines and </w:t>
      </w:r>
      <w:proofErr w:type="gramStart"/>
      <w:r w:rsidRPr="00834E96">
        <w:rPr>
          <w:rFonts w:ascii="Calibri" w:hAnsi="Calibri" w:cs="Calibri"/>
          <w:sz w:val="22"/>
          <w:szCs w:val="22"/>
        </w:rPr>
        <w:t>the DON’s</w:t>
      </w:r>
      <w:proofErr w:type="gramEnd"/>
      <w:r w:rsidRPr="00834E96">
        <w:rPr>
          <w:rFonts w:ascii="Calibri" w:hAnsi="Calibri" w:cs="Calibri"/>
          <w:sz w:val="22"/>
          <w:szCs w:val="22"/>
        </w:rPr>
        <w:t xml:space="preserve"> role in triage-based resident movement.</w:t>
      </w:r>
    </w:p>
    <w:p w14:paraId="0D88B40F" w14:textId="77777777" w:rsidR="00834E96" w:rsidRPr="00834E96" w:rsidRDefault="00834E96" w:rsidP="00834E96">
      <w:pPr>
        <w:numPr>
          <w:ilvl w:val="0"/>
          <w:numId w:val="5"/>
        </w:numPr>
        <w:spacing w:after="120"/>
        <w:jc w:val="both"/>
        <w:rPr>
          <w:rFonts w:ascii="Calibri" w:hAnsi="Calibri" w:cs="Calibri"/>
          <w:sz w:val="22"/>
          <w:szCs w:val="22"/>
        </w:rPr>
      </w:pPr>
      <w:r w:rsidRPr="00834E96">
        <w:rPr>
          <w:rFonts w:ascii="Calibri" w:hAnsi="Calibri" w:cs="Calibri"/>
          <w:sz w:val="22"/>
          <w:szCs w:val="22"/>
        </w:rPr>
        <w:t>Design Resident-Centric Evacuation Tiers: Categorize residents by cognitive load (Memory Care) and bariatric needs to ensure that person-centered care continues even during a high-speed emergency egress.</w:t>
      </w:r>
    </w:p>
    <w:p w14:paraId="50706A2E" w14:textId="77777777" w:rsidR="00834E96" w:rsidRPr="00834E96" w:rsidRDefault="00834E96" w:rsidP="00834E96">
      <w:pPr>
        <w:numPr>
          <w:ilvl w:val="0"/>
          <w:numId w:val="5"/>
        </w:numPr>
        <w:spacing w:after="120"/>
        <w:jc w:val="both"/>
        <w:rPr>
          <w:rFonts w:ascii="Calibri" w:hAnsi="Calibri" w:cs="Calibri"/>
          <w:sz w:val="22"/>
          <w:szCs w:val="22"/>
        </w:rPr>
      </w:pPr>
      <w:r w:rsidRPr="00834E96">
        <w:rPr>
          <w:rFonts w:ascii="Calibri" w:hAnsi="Calibri" w:cs="Calibri"/>
          <w:sz w:val="22"/>
          <w:szCs w:val="22"/>
        </w:rPr>
        <w:t>Formulate a Crisis Communication Blueprint: Develop strategies for real-time resident tracking and family notification to prevent chaos and maintain accountability during multi-facility relocations.</w:t>
      </w:r>
    </w:p>
    <w:p w14:paraId="03A65289" w14:textId="77777777" w:rsidR="00834E96" w:rsidRPr="00834E96" w:rsidRDefault="00834E96" w:rsidP="00834E96">
      <w:pPr>
        <w:spacing w:after="120"/>
        <w:jc w:val="both"/>
        <w:rPr>
          <w:rFonts w:ascii="Calibri" w:hAnsi="Calibri" w:cs="Calibri"/>
          <w:b/>
          <w:bCs/>
          <w:sz w:val="22"/>
          <w:szCs w:val="22"/>
        </w:rPr>
      </w:pPr>
    </w:p>
    <w:p w14:paraId="1EB913DC" w14:textId="77777777" w:rsidR="00834E96" w:rsidRPr="00834E96" w:rsidRDefault="00834E96" w:rsidP="00834E96">
      <w:pPr>
        <w:spacing w:after="120"/>
        <w:jc w:val="both"/>
        <w:rPr>
          <w:rFonts w:ascii="Calibri" w:hAnsi="Calibri" w:cs="Calibri"/>
          <w:b/>
          <w:bCs/>
          <w:sz w:val="22"/>
          <w:szCs w:val="22"/>
        </w:rPr>
      </w:pPr>
    </w:p>
    <w:p w14:paraId="78C997DF" w14:textId="77777777" w:rsidR="005E26EE" w:rsidRDefault="005E26EE" w:rsidP="00B93C69">
      <w:pPr>
        <w:spacing w:after="120"/>
        <w:jc w:val="both"/>
        <w:rPr>
          <w:rFonts w:ascii="Calibri" w:hAnsi="Calibri" w:cs="Calibri"/>
          <w:b/>
          <w:bCs/>
          <w:sz w:val="28"/>
          <w:szCs w:val="28"/>
        </w:rPr>
      </w:pPr>
      <w:bookmarkStart w:id="1" w:name="_Hlk109032511"/>
      <w:bookmarkEnd w:id="0"/>
    </w:p>
    <w:p w14:paraId="397B8241" w14:textId="4213484D" w:rsidR="00B93C69" w:rsidRPr="002212F2" w:rsidRDefault="00B93C69" w:rsidP="00B93C69">
      <w:pPr>
        <w:spacing w:after="120"/>
        <w:jc w:val="both"/>
        <w:rPr>
          <w:rFonts w:ascii="Calibri" w:hAnsi="Calibri" w:cs="Calibri"/>
          <w:b/>
          <w:bCs/>
          <w:sz w:val="28"/>
          <w:szCs w:val="28"/>
        </w:rPr>
      </w:pPr>
      <w:r w:rsidRPr="002212F2">
        <w:rPr>
          <w:rFonts w:ascii="Calibri" w:hAnsi="Calibri" w:cs="Calibri"/>
          <w:b/>
          <w:bCs/>
          <w:sz w:val="28"/>
          <w:szCs w:val="28"/>
        </w:rPr>
        <w:t xml:space="preserve">Zachary Goldfarb, BS, EMT-P, </w:t>
      </w:r>
      <w:proofErr w:type="gramStart"/>
      <w:r w:rsidRPr="002212F2">
        <w:rPr>
          <w:rFonts w:ascii="Calibri" w:hAnsi="Calibri" w:cs="Calibri"/>
          <w:b/>
          <w:bCs/>
          <w:sz w:val="28"/>
          <w:szCs w:val="28"/>
        </w:rPr>
        <w:t xml:space="preserve">CHSP, </w:t>
      </w:r>
      <w:r w:rsidR="00531374">
        <w:rPr>
          <w:rFonts w:ascii="Calibri" w:hAnsi="Calibri" w:cs="Calibri"/>
          <w:b/>
          <w:bCs/>
          <w:sz w:val="28"/>
          <w:szCs w:val="28"/>
        </w:rPr>
        <w:t xml:space="preserve"> </w:t>
      </w:r>
      <w:r w:rsidRPr="002212F2">
        <w:rPr>
          <w:rFonts w:ascii="Calibri" w:hAnsi="Calibri" w:cs="Calibri"/>
          <w:b/>
          <w:bCs/>
          <w:sz w:val="28"/>
          <w:szCs w:val="28"/>
        </w:rPr>
        <w:t>,</w:t>
      </w:r>
      <w:proofErr w:type="gramEnd"/>
      <w:r w:rsidRPr="002212F2">
        <w:rPr>
          <w:rFonts w:ascii="Calibri" w:hAnsi="Calibri" w:cs="Calibri"/>
          <w:b/>
          <w:bCs/>
          <w:sz w:val="28"/>
          <w:szCs w:val="28"/>
        </w:rPr>
        <w:t xml:space="preserve"> CEM</w:t>
      </w:r>
    </w:p>
    <w:p w14:paraId="5240C35D" w14:textId="77777777" w:rsidR="00B93C69" w:rsidRPr="002212F2" w:rsidRDefault="00B93C69" w:rsidP="00B93C69">
      <w:pPr>
        <w:spacing w:after="120"/>
        <w:jc w:val="both"/>
        <w:rPr>
          <w:rFonts w:ascii="Calibri" w:hAnsi="Calibri" w:cs="Calibri"/>
          <w:sz w:val="22"/>
          <w:szCs w:val="22"/>
        </w:rPr>
      </w:pPr>
      <w:r w:rsidRPr="002212F2">
        <w:rPr>
          <w:noProof/>
          <w:sz w:val="32"/>
          <w:szCs w:val="32"/>
        </w:rPr>
        <w:drawing>
          <wp:anchor distT="0" distB="0" distL="114300" distR="114300" simplePos="0" relativeHeight="251659264" behindDoc="1" locked="0" layoutInCell="1" allowOverlap="1" wp14:anchorId="5331E182" wp14:editId="3BA50CBF">
            <wp:simplePos x="0" y="0"/>
            <wp:positionH relativeFrom="column">
              <wp:posOffset>145</wp:posOffset>
            </wp:positionH>
            <wp:positionV relativeFrom="paragraph">
              <wp:posOffset>49407</wp:posOffset>
            </wp:positionV>
            <wp:extent cx="800735" cy="822960"/>
            <wp:effectExtent l="0" t="0" r="0" b="0"/>
            <wp:wrapTight wrapText="bothSides">
              <wp:wrapPolygon edited="0">
                <wp:start x="0" y="0"/>
                <wp:lineTo x="0" y="21000"/>
                <wp:lineTo x="21069" y="21000"/>
                <wp:lineTo x="21069" y="0"/>
                <wp:lineTo x="0" y="0"/>
              </wp:wrapPolygon>
            </wp:wrapTight>
            <wp:docPr id="14" name="Picture 14"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erson wearing glasse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0735" cy="822960"/>
                    </a:xfrm>
                    <a:prstGeom prst="rect">
                      <a:avLst/>
                    </a:prstGeom>
                  </pic:spPr>
                </pic:pic>
              </a:graphicData>
            </a:graphic>
            <wp14:sizeRelH relativeFrom="margin">
              <wp14:pctWidth>0</wp14:pctWidth>
            </wp14:sizeRelH>
            <wp14:sizeRelV relativeFrom="margin">
              <wp14:pctHeight>0</wp14:pctHeight>
            </wp14:sizeRelV>
          </wp:anchor>
        </w:drawing>
      </w:r>
      <w:r w:rsidRPr="002212F2">
        <w:rPr>
          <w:rFonts w:ascii="Calibri" w:hAnsi="Calibri" w:cs="Calibri"/>
          <w:sz w:val="22"/>
          <w:szCs w:val="22"/>
        </w:rPr>
        <w:t>Zachary Goldfarb is the principal of Incident Management Solutions, Inc., a New York-based certified emergency management consultancy.  Chief Goldfarb has served in many capacities during his 25-year career with the New York City Fire Department (and New York City Health and Hospitals Corporation’s Emergency Medical Service, prior to their 1996 merger), retiring as an EMS Deputy Chief/Paramedic.  The author of the New York City Emergency Medical Action (Disaster) Plan, he served as an EMS commander at the scene during both the 1993 bombing and the 2001 terrorist attack on the World Trade Center.  He is a credentialed FEMA Incident Command System (ICS) Instructor-Trainer (all levels).  Additionally, he holds Homeland Security Exercise and Evaluation Program (HSEEP) exercise development and evaluation certifications.</w:t>
      </w:r>
    </w:p>
    <w:p w14:paraId="1993B921" w14:textId="77777777" w:rsidR="00B93C69" w:rsidRPr="002212F2" w:rsidRDefault="00B93C69" w:rsidP="00B93C69">
      <w:pPr>
        <w:spacing w:after="120"/>
        <w:jc w:val="both"/>
        <w:rPr>
          <w:rFonts w:ascii="Calibri" w:hAnsi="Calibri" w:cs="Calibri"/>
          <w:sz w:val="22"/>
          <w:szCs w:val="22"/>
        </w:rPr>
      </w:pPr>
      <w:r w:rsidRPr="002212F2">
        <w:rPr>
          <w:rFonts w:ascii="Calibri" w:hAnsi="Calibri" w:cs="Calibri"/>
          <w:sz w:val="22"/>
          <w:szCs w:val="22"/>
        </w:rPr>
        <w:t>Since 1999, Chief Goldfarb has been a national thought leader in emergency planning, training, and exercising for healthcare organizations.  He has developed best practice models for comprehensive all-hazards healthcare emergency management planning, as well as medical facility evacuation, response to chemical/biological/radiological/nuclear/explosive incidents, and pandemic influenza that are in use across the nation in hospitals, long term care facilities, public health agencies, home care agencies, and primary care facilities.</w:t>
      </w:r>
    </w:p>
    <w:bookmarkEnd w:id="1"/>
    <w:p w14:paraId="763B25E1" w14:textId="77777777" w:rsidR="00B93C69" w:rsidRDefault="00B93C69" w:rsidP="00B93C69">
      <w:pPr>
        <w:spacing w:after="120"/>
        <w:jc w:val="both"/>
        <w:rPr>
          <w:rFonts w:ascii="Calibri" w:hAnsi="Calibri" w:cs="Calibri"/>
          <w:sz w:val="22"/>
          <w:szCs w:val="22"/>
        </w:rPr>
      </w:pPr>
    </w:p>
    <w:p w14:paraId="598206D1" w14:textId="77777777" w:rsidR="00CF250B" w:rsidRDefault="00CF250B"/>
    <w:sectPr w:rsidR="00CF2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6FFE"/>
    <w:multiLevelType w:val="hybridMultilevel"/>
    <w:tmpl w:val="5974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96CDA"/>
    <w:multiLevelType w:val="multilevel"/>
    <w:tmpl w:val="85E8B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60908"/>
    <w:multiLevelType w:val="multilevel"/>
    <w:tmpl w:val="4F4C9F1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6B73799E"/>
    <w:multiLevelType w:val="multilevel"/>
    <w:tmpl w:val="0382DA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2633A3"/>
    <w:multiLevelType w:val="multilevel"/>
    <w:tmpl w:val="71E4D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13510588">
    <w:abstractNumId w:val="3"/>
  </w:num>
  <w:num w:numId="2" w16cid:durableId="346367692">
    <w:abstractNumId w:val="2"/>
  </w:num>
  <w:num w:numId="3" w16cid:durableId="1903715301">
    <w:abstractNumId w:val="0"/>
  </w:num>
  <w:num w:numId="4" w16cid:durableId="1868329067">
    <w:abstractNumId w:val="1"/>
  </w:num>
  <w:num w:numId="5" w16cid:durableId="1732266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FE"/>
    <w:rsid w:val="001C67C8"/>
    <w:rsid w:val="00386715"/>
    <w:rsid w:val="004F7DFE"/>
    <w:rsid w:val="00531374"/>
    <w:rsid w:val="005E26EE"/>
    <w:rsid w:val="006E6D37"/>
    <w:rsid w:val="00834E96"/>
    <w:rsid w:val="008515D7"/>
    <w:rsid w:val="0088002C"/>
    <w:rsid w:val="00910F34"/>
    <w:rsid w:val="00954078"/>
    <w:rsid w:val="00A83652"/>
    <w:rsid w:val="00B60A2F"/>
    <w:rsid w:val="00B93C69"/>
    <w:rsid w:val="00CF250B"/>
    <w:rsid w:val="00D21811"/>
    <w:rsid w:val="00F464B8"/>
    <w:rsid w:val="00F76A32"/>
    <w:rsid w:val="00FF0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540F"/>
  <w15:chartTrackingRefBased/>
  <w15:docId w15:val="{0BBD631F-712E-4243-906E-7C4EEE38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DF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F7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D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D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D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D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D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D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D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D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D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D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D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D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DFE"/>
    <w:rPr>
      <w:rFonts w:eastAsiaTheme="majorEastAsia" w:cstheme="majorBidi"/>
      <w:color w:val="272727" w:themeColor="text1" w:themeTint="D8"/>
    </w:rPr>
  </w:style>
  <w:style w:type="paragraph" w:styleId="Title">
    <w:name w:val="Title"/>
    <w:basedOn w:val="Normal"/>
    <w:next w:val="Normal"/>
    <w:link w:val="TitleChar"/>
    <w:uiPriority w:val="10"/>
    <w:qFormat/>
    <w:rsid w:val="004F7D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DFE"/>
    <w:pPr>
      <w:spacing w:before="160"/>
      <w:jc w:val="center"/>
    </w:pPr>
    <w:rPr>
      <w:i/>
      <w:iCs/>
      <w:color w:val="404040" w:themeColor="text1" w:themeTint="BF"/>
    </w:rPr>
  </w:style>
  <w:style w:type="character" w:customStyle="1" w:styleId="QuoteChar">
    <w:name w:val="Quote Char"/>
    <w:basedOn w:val="DefaultParagraphFont"/>
    <w:link w:val="Quote"/>
    <w:uiPriority w:val="29"/>
    <w:rsid w:val="004F7DFE"/>
    <w:rPr>
      <w:i/>
      <w:iCs/>
      <w:color w:val="404040" w:themeColor="text1" w:themeTint="BF"/>
    </w:rPr>
  </w:style>
  <w:style w:type="paragraph" w:styleId="ListParagraph">
    <w:name w:val="List Paragraph"/>
    <w:basedOn w:val="Normal"/>
    <w:uiPriority w:val="34"/>
    <w:qFormat/>
    <w:rsid w:val="004F7DFE"/>
    <w:pPr>
      <w:ind w:left="720"/>
      <w:contextualSpacing/>
    </w:pPr>
  </w:style>
  <w:style w:type="character" w:styleId="IntenseEmphasis">
    <w:name w:val="Intense Emphasis"/>
    <w:basedOn w:val="DefaultParagraphFont"/>
    <w:uiPriority w:val="21"/>
    <w:qFormat/>
    <w:rsid w:val="004F7DFE"/>
    <w:rPr>
      <w:i/>
      <w:iCs/>
      <w:color w:val="0F4761" w:themeColor="accent1" w:themeShade="BF"/>
    </w:rPr>
  </w:style>
  <w:style w:type="paragraph" w:styleId="IntenseQuote">
    <w:name w:val="Intense Quote"/>
    <w:basedOn w:val="Normal"/>
    <w:next w:val="Normal"/>
    <w:link w:val="IntenseQuoteChar"/>
    <w:uiPriority w:val="30"/>
    <w:qFormat/>
    <w:rsid w:val="004F7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DFE"/>
    <w:rPr>
      <w:i/>
      <w:iCs/>
      <w:color w:val="0F4761" w:themeColor="accent1" w:themeShade="BF"/>
    </w:rPr>
  </w:style>
  <w:style w:type="character" w:styleId="IntenseReference">
    <w:name w:val="Intense Reference"/>
    <w:basedOn w:val="DefaultParagraphFont"/>
    <w:uiPriority w:val="32"/>
    <w:qFormat/>
    <w:rsid w:val="004F7DFE"/>
    <w:rPr>
      <w:b/>
      <w:bCs/>
      <w:smallCaps/>
      <w:color w:val="0F4761" w:themeColor="accent1" w:themeShade="BF"/>
      <w:spacing w:val="5"/>
    </w:rPr>
  </w:style>
  <w:style w:type="character" w:styleId="Hyperlink">
    <w:name w:val="Hyperlink"/>
    <w:basedOn w:val="DefaultParagraphFont"/>
    <w:unhideWhenUsed/>
    <w:rsid w:val="004F7DFE"/>
    <w:rPr>
      <w:color w:val="467886" w:themeColor="hyperlink"/>
      <w:u w:val="single"/>
    </w:rPr>
  </w:style>
  <w:style w:type="character" w:styleId="UnresolvedMention">
    <w:name w:val="Unresolved Mention"/>
    <w:basedOn w:val="DefaultParagraphFont"/>
    <w:uiPriority w:val="99"/>
    <w:semiHidden/>
    <w:unhideWhenUsed/>
    <w:rsid w:val="004F7DFE"/>
    <w:rPr>
      <w:color w:val="605E5C"/>
      <w:shd w:val="clear" w:color="auto" w:fill="E1DFDD"/>
    </w:rPr>
  </w:style>
  <w:style w:type="character" w:styleId="FollowedHyperlink">
    <w:name w:val="FollowedHyperlink"/>
    <w:basedOn w:val="DefaultParagraphFont"/>
    <w:uiPriority w:val="99"/>
    <w:semiHidden/>
    <w:unhideWhenUsed/>
    <w:rsid w:val="00A836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us02web.zoom.us/meeting/register/iiF1-Xs5SjyMqSLGF-idR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4654</Characters>
  <Application>Microsoft Office Word</Application>
  <DocSecurity>4</DocSecurity>
  <Lines>186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Melony Spock</dc:creator>
  <cp:keywords/>
  <dc:description/>
  <cp:lastModifiedBy>Spezio, Eileen</cp:lastModifiedBy>
  <cp:revision>2</cp:revision>
  <cp:lastPrinted>2026-05-12T15:47:00Z</cp:lastPrinted>
  <dcterms:created xsi:type="dcterms:W3CDTF">2026-05-15T16:30:00Z</dcterms:created>
  <dcterms:modified xsi:type="dcterms:W3CDTF">2026-05-15T16:30:00Z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57830ed6-c435-4097-b5c6-21953455e904</vt:lpwstr>
  </property>
</Properties>
</file>