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DF" w:rsidRPr="007B408C" w:rsidRDefault="009135DF" w:rsidP="009135DF">
      <w:pPr>
        <w:spacing w:after="0"/>
        <w:jc w:val="right"/>
        <w:rPr>
          <w:rFonts w:ascii="Times New Roman" w:hAnsi="Times New Roman" w:cs="Times New Roman"/>
          <w:sz w:val="20"/>
          <w:szCs w:val="20"/>
        </w:rPr>
      </w:pPr>
      <w:r w:rsidRPr="007B408C">
        <w:rPr>
          <w:rFonts w:ascii="Times New Roman" w:hAnsi="Times New Roman" w:cs="Times New Roman"/>
          <w:sz w:val="20"/>
          <w:szCs w:val="20"/>
        </w:rPr>
        <w:t xml:space="preserve">Justin </w:t>
      </w:r>
      <w:proofErr w:type="spellStart"/>
      <w:r w:rsidRPr="007B408C">
        <w:rPr>
          <w:rFonts w:ascii="Times New Roman" w:hAnsi="Times New Roman" w:cs="Times New Roman"/>
          <w:sz w:val="20"/>
          <w:szCs w:val="20"/>
        </w:rPr>
        <w:t>Roh</w:t>
      </w:r>
      <w:proofErr w:type="spellEnd"/>
    </w:p>
    <w:p w:rsidR="00535896" w:rsidRPr="007B408C" w:rsidRDefault="00535896" w:rsidP="009135DF">
      <w:pPr>
        <w:spacing w:after="0"/>
        <w:jc w:val="center"/>
        <w:rPr>
          <w:rFonts w:ascii="Times New Roman" w:hAnsi="Times New Roman" w:cs="Times New Roman"/>
          <w:sz w:val="20"/>
          <w:szCs w:val="20"/>
        </w:rPr>
      </w:pPr>
      <w:r w:rsidRPr="007B408C">
        <w:rPr>
          <w:rFonts w:ascii="Times New Roman" w:hAnsi="Times New Roman" w:cs="Times New Roman"/>
          <w:sz w:val="20"/>
          <w:szCs w:val="20"/>
        </w:rPr>
        <w:t>Annotated Bibliography</w:t>
      </w:r>
    </w:p>
    <w:p w:rsidR="009135DF" w:rsidRPr="007B408C" w:rsidRDefault="009135DF" w:rsidP="009135DF">
      <w:pPr>
        <w:spacing w:after="0"/>
        <w:jc w:val="center"/>
        <w:rPr>
          <w:rFonts w:ascii="Times New Roman" w:hAnsi="Times New Roman" w:cs="Times New Roman"/>
          <w:sz w:val="20"/>
          <w:szCs w:val="20"/>
        </w:rPr>
      </w:pPr>
      <w:r w:rsidRPr="007B408C">
        <w:rPr>
          <w:rFonts w:ascii="Times New Roman" w:hAnsi="Times New Roman" w:cs="Times New Roman"/>
          <w:sz w:val="20"/>
          <w:szCs w:val="20"/>
        </w:rPr>
        <w:t>Pain Management in Patients with History of Confirmed or Suspected Substance Abuse</w:t>
      </w:r>
    </w:p>
    <w:p w:rsidR="00535896" w:rsidRPr="007B408C" w:rsidRDefault="00535896" w:rsidP="00432B10">
      <w:pPr>
        <w:spacing w:after="0"/>
        <w:rPr>
          <w:rFonts w:ascii="Times New Roman" w:hAnsi="Times New Roman" w:cs="Times New Roman"/>
          <w:sz w:val="20"/>
          <w:szCs w:val="20"/>
        </w:rPr>
      </w:pPr>
    </w:p>
    <w:p w:rsidR="003D7932" w:rsidRPr="007F1371" w:rsidRDefault="003D7932" w:rsidP="003D7932">
      <w:pPr>
        <w:spacing w:after="0"/>
        <w:rPr>
          <w:rFonts w:ascii="Times New Roman" w:hAnsi="Times New Roman" w:cs="Times New Roman"/>
          <w:sz w:val="16"/>
          <w:szCs w:val="16"/>
        </w:rPr>
      </w:pPr>
      <w:proofErr w:type="spellStart"/>
      <w:r w:rsidRPr="007F1371">
        <w:rPr>
          <w:rFonts w:ascii="Times New Roman" w:hAnsi="Times New Roman" w:cs="Times New Roman"/>
          <w:sz w:val="16"/>
          <w:szCs w:val="16"/>
        </w:rPr>
        <w:t>Christo</w:t>
      </w:r>
      <w:proofErr w:type="spellEnd"/>
      <w:r w:rsidRPr="007F1371">
        <w:rPr>
          <w:rFonts w:ascii="Times New Roman" w:hAnsi="Times New Roman" w:cs="Times New Roman"/>
          <w:sz w:val="16"/>
          <w:szCs w:val="16"/>
        </w:rPr>
        <w:t xml:space="preserve"> PJ, et al. Urine Drug Testing in Chronic Pain. Pain Physician 2011; 14: 123-143</w:t>
      </w:r>
    </w:p>
    <w:p w:rsidR="003D7932" w:rsidRPr="007B408C" w:rsidRDefault="002619E2" w:rsidP="003D7932">
      <w:pPr>
        <w:spacing w:after="0"/>
        <w:ind w:firstLine="720"/>
        <w:rPr>
          <w:rFonts w:ascii="Times New Roman" w:hAnsi="Times New Roman" w:cs="Times New Roman"/>
          <w:sz w:val="20"/>
          <w:szCs w:val="20"/>
        </w:rPr>
      </w:pPr>
      <w:r>
        <w:rPr>
          <w:rFonts w:ascii="Times New Roman" w:hAnsi="Times New Roman" w:cs="Times New Roman"/>
          <w:sz w:val="20"/>
          <w:szCs w:val="20"/>
        </w:rPr>
        <w:t>R</w:t>
      </w:r>
      <w:r w:rsidR="003D7932" w:rsidRPr="007B408C">
        <w:rPr>
          <w:rFonts w:ascii="Times New Roman" w:hAnsi="Times New Roman" w:cs="Times New Roman"/>
          <w:sz w:val="20"/>
          <w:szCs w:val="20"/>
        </w:rPr>
        <w:t xml:space="preserve">eview article assessing the role of urine drug testing in monitoring chronic opioid therapy. </w:t>
      </w:r>
      <w:proofErr w:type="gramStart"/>
      <w:r w:rsidR="003D7932" w:rsidRPr="007B408C">
        <w:rPr>
          <w:rFonts w:ascii="Times New Roman" w:hAnsi="Times New Roman" w:cs="Times New Roman"/>
          <w:sz w:val="20"/>
          <w:szCs w:val="20"/>
        </w:rPr>
        <w:t>Discusses key features of urine drug testing including its reliability, accuracy, and limitations.</w:t>
      </w:r>
      <w:proofErr w:type="gramEnd"/>
      <w:r w:rsidR="003D7932" w:rsidRPr="007B408C">
        <w:rPr>
          <w:rFonts w:ascii="Times New Roman" w:hAnsi="Times New Roman" w:cs="Times New Roman"/>
          <w:sz w:val="20"/>
          <w:szCs w:val="20"/>
        </w:rPr>
        <w:t xml:space="preserve"> The paper concludes with a summary stating that urine drug testing is a useful </w:t>
      </w:r>
      <w:proofErr w:type="spellStart"/>
      <w:r w:rsidR="003D7932" w:rsidRPr="007B408C">
        <w:rPr>
          <w:rFonts w:ascii="Times New Roman" w:hAnsi="Times New Roman" w:cs="Times New Roman"/>
          <w:sz w:val="20"/>
          <w:szCs w:val="20"/>
        </w:rPr>
        <w:t>adjuctive</w:t>
      </w:r>
      <w:proofErr w:type="spellEnd"/>
      <w:r w:rsidR="003D7932" w:rsidRPr="007B408C">
        <w:rPr>
          <w:rFonts w:ascii="Times New Roman" w:hAnsi="Times New Roman" w:cs="Times New Roman"/>
          <w:sz w:val="20"/>
          <w:szCs w:val="20"/>
        </w:rPr>
        <w:t xml:space="preserve"> test that should be strongly considered in conjunction with behavioral monitoring. Useful reference for learning the indications for urine drug testing and interpreting the resulting data.</w:t>
      </w:r>
    </w:p>
    <w:p w:rsidR="000E3EB3" w:rsidRPr="007B408C" w:rsidRDefault="000E3EB3" w:rsidP="00432B10">
      <w:pPr>
        <w:spacing w:after="0"/>
        <w:rPr>
          <w:rFonts w:ascii="Times New Roman" w:hAnsi="Times New Roman" w:cs="Times New Roman"/>
          <w:sz w:val="20"/>
          <w:szCs w:val="20"/>
        </w:rPr>
      </w:pPr>
    </w:p>
    <w:p w:rsidR="000E3EB3" w:rsidRPr="007F1371" w:rsidRDefault="000E3EB3" w:rsidP="00432B10">
      <w:pPr>
        <w:spacing w:after="0"/>
        <w:rPr>
          <w:rFonts w:ascii="Times New Roman" w:hAnsi="Times New Roman" w:cs="Times New Roman"/>
          <w:sz w:val="16"/>
          <w:szCs w:val="16"/>
        </w:rPr>
      </w:pPr>
      <w:proofErr w:type="gramStart"/>
      <w:r w:rsidRPr="007F1371">
        <w:rPr>
          <w:rFonts w:ascii="Times New Roman" w:hAnsi="Times New Roman" w:cs="Times New Roman"/>
          <w:sz w:val="16"/>
          <w:szCs w:val="16"/>
        </w:rPr>
        <w:t xml:space="preserve">Evans MR. </w:t>
      </w:r>
      <w:r w:rsidR="006D179B" w:rsidRPr="007F1371">
        <w:rPr>
          <w:rFonts w:ascii="Times New Roman" w:hAnsi="Times New Roman" w:cs="Times New Roman"/>
          <w:sz w:val="16"/>
          <w:szCs w:val="16"/>
        </w:rPr>
        <w:t>Assessing and Treating Pain in Patients with Substance Abuse Concerns.</w:t>
      </w:r>
      <w:proofErr w:type="gramEnd"/>
      <w:r w:rsidR="006D179B" w:rsidRPr="007F1371">
        <w:rPr>
          <w:rFonts w:ascii="Times New Roman" w:hAnsi="Times New Roman" w:cs="Times New Roman"/>
          <w:sz w:val="16"/>
          <w:szCs w:val="16"/>
        </w:rPr>
        <w:t xml:space="preserve"> AMA Pa</w:t>
      </w:r>
      <w:r w:rsidR="007F1371" w:rsidRPr="007F1371">
        <w:rPr>
          <w:rFonts w:ascii="Times New Roman" w:hAnsi="Times New Roman" w:cs="Times New Roman"/>
          <w:sz w:val="16"/>
          <w:szCs w:val="16"/>
        </w:rPr>
        <w:t xml:space="preserve">in Management Module </w:t>
      </w:r>
      <w:r w:rsidR="002F2BA7" w:rsidRPr="007F1371">
        <w:rPr>
          <w:rFonts w:ascii="Times New Roman" w:hAnsi="Times New Roman" w:cs="Times New Roman"/>
          <w:sz w:val="16"/>
          <w:szCs w:val="16"/>
        </w:rPr>
        <w:t>2005</w:t>
      </w:r>
      <w:r w:rsidR="007F1371" w:rsidRPr="007F1371">
        <w:rPr>
          <w:rFonts w:ascii="Times New Roman" w:hAnsi="Times New Roman" w:cs="Times New Roman"/>
          <w:sz w:val="16"/>
          <w:szCs w:val="16"/>
        </w:rPr>
        <w:t>; 4;</w:t>
      </w:r>
      <w:r w:rsidR="002F2BA7" w:rsidRPr="007F1371">
        <w:rPr>
          <w:rFonts w:ascii="Times New Roman" w:hAnsi="Times New Roman" w:cs="Times New Roman"/>
          <w:sz w:val="16"/>
          <w:szCs w:val="16"/>
        </w:rPr>
        <w:t xml:space="preserve"> 1-8</w:t>
      </w:r>
    </w:p>
    <w:p w:rsidR="00D63AB4" w:rsidRDefault="002F2BA7" w:rsidP="007F1371">
      <w:pPr>
        <w:spacing w:after="0"/>
        <w:ind w:firstLine="720"/>
        <w:rPr>
          <w:rFonts w:ascii="Times New Roman" w:hAnsi="Times New Roman" w:cs="Times New Roman"/>
          <w:sz w:val="20"/>
          <w:szCs w:val="20"/>
        </w:rPr>
      </w:pPr>
      <w:r w:rsidRPr="007B408C">
        <w:rPr>
          <w:rFonts w:ascii="Times New Roman" w:hAnsi="Times New Roman" w:cs="Times New Roman"/>
          <w:sz w:val="20"/>
          <w:szCs w:val="20"/>
        </w:rPr>
        <w:t xml:space="preserve">This CME module published by the American Medical Association (AMA) </w:t>
      </w:r>
      <w:r w:rsidR="004F6074" w:rsidRPr="007B408C">
        <w:rPr>
          <w:rFonts w:ascii="Times New Roman" w:hAnsi="Times New Roman" w:cs="Times New Roman"/>
          <w:sz w:val="20"/>
          <w:szCs w:val="20"/>
        </w:rPr>
        <w:t>provides princi</w:t>
      </w:r>
      <w:r w:rsidRPr="007B408C">
        <w:rPr>
          <w:rFonts w:ascii="Times New Roman" w:hAnsi="Times New Roman" w:cs="Times New Roman"/>
          <w:sz w:val="20"/>
          <w:szCs w:val="20"/>
        </w:rPr>
        <w:t xml:space="preserve">ples and strategies for assessing and managing pain </w:t>
      </w:r>
      <w:r w:rsidR="004F6074" w:rsidRPr="007B408C">
        <w:rPr>
          <w:rFonts w:ascii="Times New Roman" w:hAnsi="Times New Roman" w:cs="Times New Roman"/>
          <w:sz w:val="20"/>
          <w:szCs w:val="20"/>
        </w:rPr>
        <w:t xml:space="preserve">in patients </w:t>
      </w:r>
      <w:r w:rsidRPr="007B408C">
        <w:rPr>
          <w:rFonts w:ascii="Times New Roman" w:hAnsi="Times New Roman" w:cs="Times New Roman"/>
          <w:sz w:val="20"/>
          <w:szCs w:val="20"/>
        </w:rPr>
        <w:t xml:space="preserve">with substance abuse concerns. </w:t>
      </w:r>
      <w:r w:rsidR="004F6074" w:rsidRPr="007B408C">
        <w:rPr>
          <w:rFonts w:ascii="Times New Roman" w:hAnsi="Times New Roman" w:cs="Times New Roman"/>
          <w:sz w:val="20"/>
          <w:szCs w:val="20"/>
        </w:rPr>
        <w:t xml:space="preserve">Introduces useful </w:t>
      </w:r>
      <w:r w:rsidR="009315BD" w:rsidRPr="007B408C">
        <w:rPr>
          <w:rFonts w:ascii="Times New Roman" w:hAnsi="Times New Roman" w:cs="Times New Roman"/>
          <w:sz w:val="20"/>
          <w:szCs w:val="20"/>
        </w:rPr>
        <w:t>history-taking</w:t>
      </w:r>
      <w:r w:rsidR="004F6074" w:rsidRPr="007B408C">
        <w:rPr>
          <w:rFonts w:ascii="Times New Roman" w:hAnsi="Times New Roman" w:cs="Times New Roman"/>
          <w:sz w:val="20"/>
          <w:szCs w:val="20"/>
        </w:rPr>
        <w:t xml:space="preserve"> techniques for </w:t>
      </w:r>
      <w:r w:rsidR="00AC27E7" w:rsidRPr="007B408C">
        <w:rPr>
          <w:rFonts w:ascii="Times New Roman" w:hAnsi="Times New Roman" w:cs="Times New Roman"/>
          <w:sz w:val="20"/>
          <w:szCs w:val="20"/>
        </w:rPr>
        <w:t xml:space="preserve">suspected </w:t>
      </w:r>
      <w:r w:rsidR="004F6074" w:rsidRPr="007B408C">
        <w:rPr>
          <w:rFonts w:ascii="Times New Roman" w:hAnsi="Times New Roman" w:cs="Times New Roman"/>
          <w:sz w:val="20"/>
          <w:szCs w:val="20"/>
        </w:rPr>
        <w:t>substance abuse and discusses guiding principles for managing pain in specific clinical circumstances</w:t>
      </w:r>
      <w:r w:rsidR="00437E84" w:rsidRPr="007B408C">
        <w:rPr>
          <w:rFonts w:ascii="Times New Roman" w:hAnsi="Times New Roman" w:cs="Times New Roman"/>
          <w:sz w:val="20"/>
          <w:szCs w:val="20"/>
        </w:rPr>
        <w:t xml:space="preserve">, such as acute pain, cancer pain, and persistent non-cancer pain. </w:t>
      </w:r>
      <w:proofErr w:type="gramStart"/>
      <w:r w:rsidR="009315BD" w:rsidRPr="007B408C">
        <w:rPr>
          <w:rFonts w:ascii="Times New Roman" w:hAnsi="Times New Roman" w:cs="Times New Roman"/>
          <w:sz w:val="20"/>
          <w:szCs w:val="20"/>
        </w:rPr>
        <w:t>Useful</w:t>
      </w:r>
      <w:r w:rsidR="00437E84" w:rsidRPr="007B408C">
        <w:rPr>
          <w:rFonts w:ascii="Times New Roman" w:hAnsi="Times New Roman" w:cs="Times New Roman"/>
          <w:sz w:val="20"/>
          <w:szCs w:val="20"/>
        </w:rPr>
        <w:t xml:space="preserve"> reference for </w:t>
      </w:r>
      <w:r w:rsidR="009315BD" w:rsidRPr="007B408C">
        <w:rPr>
          <w:rFonts w:ascii="Times New Roman" w:hAnsi="Times New Roman" w:cs="Times New Roman"/>
          <w:sz w:val="20"/>
          <w:szCs w:val="20"/>
        </w:rPr>
        <w:t>learning how to take relevant history from patients, ask appropriate questions and counsel them regarding proper opioid use.</w:t>
      </w:r>
      <w:proofErr w:type="gramEnd"/>
      <w:r w:rsidR="009315BD" w:rsidRPr="007B408C">
        <w:rPr>
          <w:rFonts w:ascii="Times New Roman" w:hAnsi="Times New Roman" w:cs="Times New Roman"/>
          <w:sz w:val="20"/>
          <w:szCs w:val="20"/>
        </w:rPr>
        <w:t xml:space="preserve"> </w:t>
      </w:r>
      <w:r w:rsidR="00D63AB4" w:rsidRPr="007B408C">
        <w:rPr>
          <w:rFonts w:ascii="Times New Roman" w:hAnsi="Times New Roman" w:cs="Times New Roman"/>
          <w:sz w:val="20"/>
          <w:szCs w:val="20"/>
        </w:rPr>
        <w:t>For in-depth review of specific pain management regimens, this module paper may not provide sufficient information.</w:t>
      </w:r>
    </w:p>
    <w:p w:rsidR="003D7932" w:rsidRDefault="003D7932" w:rsidP="007F1371">
      <w:pPr>
        <w:spacing w:after="0"/>
        <w:ind w:firstLine="720"/>
        <w:rPr>
          <w:rFonts w:ascii="Times New Roman" w:hAnsi="Times New Roman" w:cs="Times New Roman"/>
          <w:sz w:val="20"/>
          <w:szCs w:val="20"/>
        </w:rPr>
      </w:pPr>
    </w:p>
    <w:p w:rsidR="003D7932" w:rsidRPr="00C32FDE" w:rsidRDefault="003D7932" w:rsidP="003D7932">
      <w:pPr>
        <w:spacing w:after="0"/>
        <w:rPr>
          <w:rFonts w:ascii="Times New Roman" w:hAnsi="Times New Roman" w:cs="Times New Roman"/>
          <w:sz w:val="16"/>
          <w:szCs w:val="16"/>
        </w:rPr>
      </w:pPr>
      <w:proofErr w:type="spellStart"/>
      <w:r w:rsidRPr="00C32FDE">
        <w:rPr>
          <w:rFonts w:ascii="Times New Roman" w:hAnsi="Times New Roman" w:cs="Times New Roman"/>
          <w:sz w:val="16"/>
          <w:szCs w:val="16"/>
        </w:rPr>
        <w:t>Gourlay</w:t>
      </w:r>
      <w:proofErr w:type="spellEnd"/>
      <w:r w:rsidRPr="00C32FDE">
        <w:rPr>
          <w:rFonts w:ascii="Times New Roman" w:hAnsi="Times New Roman" w:cs="Times New Roman"/>
          <w:sz w:val="16"/>
          <w:szCs w:val="16"/>
        </w:rPr>
        <w:t xml:space="preserve"> DL, et al. Universal Precautions in Pain Medicine: A Rational Approach to the Treatment of C</w:t>
      </w:r>
      <w:r>
        <w:rPr>
          <w:rFonts w:ascii="Times New Roman" w:hAnsi="Times New Roman" w:cs="Times New Roman"/>
          <w:sz w:val="16"/>
          <w:szCs w:val="16"/>
        </w:rPr>
        <w:t>hronic Pain. Pain Med</w:t>
      </w:r>
      <w:r w:rsidRPr="00C32FDE">
        <w:rPr>
          <w:rFonts w:ascii="Times New Roman" w:hAnsi="Times New Roman" w:cs="Times New Roman"/>
          <w:sz w:val="16"/>
          <w:szCs w:val="16"/>
        </w:rPr>
        <w:t xml:space="preserve"> 2005: 6: 107-112</w:t>
      </w:r>
    </w:p>
    <w:p w:rsidR="003D7932" w:rsidRDefault="003D7932" w:rsidP="003D7932">
      <w:pPr>
        <w:spacing w:after="0"/>
        <w:ind w:firstLine="720"/>
        <w:rPr>
          <w:rFonts w:ascii="Times New Roman" w:hAnsi="Times New Roman" w:cs="Times New Roman"/>
          <w:sz w:val="20"/>
          <w:szCs w:val="20"/>
        </w:rPr>
      </w:pPr>
      <w:r w:rsidRPr="007B408C">
        <w:rPr>
          <w:rFonts w:ascii="Times New Roman" w:hAnsi="Times New Roman" w:cs="Times New Roman"/>
          <w:sz w:val="20"/>
          <w:szCs w:val="20"/>
        </w:rPr>
        <w:t>This article describes a “universal precautions” approach to the assessment and management of chronic pain patient.  Universal precautions is a clinical practice guideline consisting of 10 steps, from making a diagnosis with appropriate differential to documenting initial evaluation, intended to help diagnose underlying addictive disorders, improve patient care, reduce stigma related to drug dependence and contain overall risk of medication abuse. The universal precautions method can subsequently be used to triage chronic pain patients into three risk categories – patients safely manageable in primary care settings, those needing co</w:t>
      </w:r>
      <w:r w:rsidR="0014593A">
        <w:rPr>
          <w:rFonts w:ascii="Times New Roman" w:hAnsi="Times New Roman" w:cs="Times New Roman"/>
          <w:sz w:val="20"/>
          <w:szCs w:val="20"/>
        </w:rPr>
        <w:t>-</w:t>
      </w:r>
      <w:r w:rsidRPr="007B408C">
        <w:rPr>
          <w:rFonts w:ascii="Times New Roman" w:hAnsi="Times New Roman" w:cs="Times New Roman"/>
          <w:sz w:val="20"/>
          <w:szCs w:val="20"/>
        </w:rPr>
        <w:t>management with specialist support, and those requiring specialty pain management. The universal precautions guideline is suitable as an adjunctive tool when starting a discussion on pain management with patients. However, this article does not provide clinical evidence supporting the guideline’s efficacy in reducing the incidence of medication abuse.</w:t>
      </w:r>
    </w:p>
    <w:p w:rsidR="003D7932" w:rsidRDefault="003D7932" w:rsidP="007F1371">
      <w:pPr>
        <w:spacing w:after="0"/>
        <w:ind w:firstLine="720"/>
        <w:rPr>
          <w:rFonts w:ascii="Times New Roman" w:hAnsi="Times New Roman" w:cs="Times New Roman"/>
          <w:sz w:val="20"/>
          <w:szCs w:val="20"/>
        </w:rPr>
      </w:pPr>
    </w:p>
    <w:p w:rsidR="003D7932" w:rsidRPr="007F1371" w:rsidRDefault="003D7932" w:rsidP="003D7932">
      <w:pPr>
        <w:spacing w:after="0"/>
        <w:rPr>
          <w:rFonts w:ascii="Times New Roman" w:hAnsi="Times New Roman" w:cs="Times New Roman"/>
          <w:sz w:val="16"/>
          <w:szCs w:val="16"/>
        </w:rPr>
      </w:pPr>
      <w:r w:rsidRPr="007F1371">
        <w:rPr>
          <w:rFonts w:ascii="Times New Roman" w:hAnsi="Times New Roman" w:cs="Times New Roman"/>
          <w:sz w:val="16"/>
          <w:szCs w:val="16"/>
        </w:rPr>
        <w:t xml:space="preserve">Hansen GR. </w:t>
      </w:r>
      <w:proofErr w:type="gramStart"/>
      <w:r w:rsidRPr="007F1371">
        <w:rPr>
          <w:rFonts w:ascii="Times New Roman" w:hAnsi="Times New Roman" w:cs="Times New Roman"/>
          <w:sz w:val="16"/>
          <w:szCs w:val="16"/>
        </w:rPr>
        <w:t>The Drug-Seeking Patient in the Emergency Room.</w:t>
      </w:r>
      <w:proofErr w:type="gramEnd"/>
      <w:r w:rsidRPr="007F1371">
        <w:rPr>
          <w:rFonts w:ascii="Times New Roman" w:hAnsi="Times New Roman" w:cs="Times New Roman"/>
          <w:sz w:val="16"/>
          <w:szCs w:val="16"/>
        </w:rPr>
        <w:t xml:space="preserve"> </w:t>
      </w:r>
      <w:proofErr w:type="spellStart"/>
      <w:r w:rsidRPr="007F1371">
        <w:rPr>
          <w:rFonts w:ascii="Times New Roman" w:hAnsi="Times New Roman" w:cs="Times New Roman"/>
          <w:sz w:val="16"/>
          <w:szCs w:val="16"/>
        </w:rPr>
        <w:t>Emerg</w:t>
      </w:r>
      <w:proofErr w:type="spellEnd"/>
      <w:r w:rsidRPr="007F1371">
        <w:rPr>
          <w:rFonts w:ascii="Times New Roman" w:hAnsi="Times New Roman" w:cs="Times New Roman"/>
          <w:sz w:val="16"/>
          <w:szCs w:val="16"/>
        </w:rPr>
        <w:t xml:space="preserve"> Med </w:t>
      </w:r>
      <w:proofErr w:type="spellStart"/>
      <w:r w:rsidRPr="007F1371">
        <w:rPr>
          <w:rFonts w:ascii="Times New Roman" w:hAnsi="Times New Roman" w:cs="Times New Roman"/>
          <w:sz w:val="16"/>
          <w:szCs w:val="16"/>
        </w:rPr>
        <w:t>Clin</w:t>
      </w:r>
      <w:proofErr w:type="spellEnd"/>
      <w:r w:rsidRPr="007F1371">
        <w:rPr>
          <w:rFonts w:ascii="Times New Roman" w:hAnsi="Times New Roman" w:cs="Times New Roman"/>
          <w:sz w:val="16"/>
          <w:szCs w:val="16"/>
        </w:rPr>
        <w:t xml:space="preserve"> N Am 2005; 23: 349-365</w:t>
      </w:r>
    </w:p>
    <w:p w:rsidR="003D7932" w:rsidRDefault="003D7932" w:rsidP="003D7932">
      <w:pPr>
        <w:spacing w:after="0"/>
        <w:ind w:firstLine="720"/>
        <w:rPr>
          <w:rFonts w:ascii="Times New Roman" w:hAnsi="Times New Roman" w:cs="Times New Roman"/>
          <w:sz w:val="20"/>
          <w:szCs w:val="20"/>
        </w:rPr>
      </w:pPr>
      <w:r w:rsidRPr="007B408C">
        <w:rPr>
          <w:rFonts w:ascii="Times New Roman" w:hAnsi="Times New Roman" w:cs="Times New Roman"/>
          <w:sz w:val="20"/>
          <w:szCs w:val="20"/>
        </w:rPr>
        <w:t xml:space="preserve">This article provides a brief overview of fundamental concepts regarding pain management in acute settings. Psychoactive properties of </w:t>
      </w:r>
      <w:proofErr w:type="spellStart"/>
      <w:r w:rsidRPr="007B408C">
        <w:rPr>
          <w:rFonts w:ascii="Times New Roman" w:hAnsi="Times New Roman" w:cs="Times New Roman"/>
          <w:sz w:val="20"/>
          <w:szCs w:val="20"/>
        </w:rPr>
        <w:t>opioids</w:t>
      </w:r>
      <w:proofErr w:type="spellEnd"/>
      <w:r w:rsidRPr="007B408C">
        <w:rPr>
          <w:rFonts w:ascii="Times New Roman" w:hAnsi="Times New Roman" w:cs="Times New Roman"/>
          <w:sz w:val="20"/>
          <w:szCs w:val="20"/>
        </w:rPr>
        <w:t xml:space="preserve"> are discussed extensively, as well as various strategies for prescribing </w:t>
      </w:r>
      <w:proofErr w:type="spellStart"/>
      <w:r w:rsidRPr="007B408C">
        <w:rPr>
          <w:rFonts w:ascii="Times New Roman" w:hAnsi="Times New Roman" w:cs="Times New Roman"/>
          <w:sz w:val="20"/>
          <w:szCs w:val="20"/>
        </w:rPr>
        <w:t>opiods</w:t>
      </w:r>
      <w:proofErr w:type="spellEnd"/>
      <w:r w:rsidRPr="007B408C">
        <w:rPr>
          <w:rFonts w:ascii="Times New Roman" w:hAnsi="Times New Roman" w:cs="Times New Roman"/>
          <w:sz w:val="20"/>
          <w:szCs w:val="20"/>
        </w:rPr>
        <w:t xml:space="preserve"> to patients with medication addiction. This article lists the common signs and symptoms of drug abuse, addiction and pseudo-addiction, and then provides screening methods for identifying potential drug-seekers. Although not in detail, basic pain management skills such as creating narcotic contracts, compiling habitual files and refusing inappropriate drug prescriptions are also discussed. </w:t>
      </w:r>
      <w:proofErr w:type="gramStart"/>
      <w:r w:rsidRPr="007B408C">
        <w:rPr>
          <w:rFonts w:ascii="Times New Roman" w:hAnsi="Times New Roman" w:cs="Times New Roman"/>
          <w:sz w:val="20"/>
          <w:szCs w:val="20"/>
        </w:rPr>
        <w:t>A reference suitable as an introduction to pain management.</w:t>
      </w:r>
      <w:proofErr w:type="gramEnd"/>
      <w:r w:rsidRPr="007B408C">
        <w:rPr>
          <w:rFonts w:ascii="Times New Roman" w:hAnsi="Times New Roman" w:cs="Times New Roman"/>
          <w:sz w:val="20"/>
          <w:szCs w:val="20"/>
        </w:rPr>
        <w:t xml:space="preserve"> </w:t>
      </w:r>
    </w:p>
    <w:p w:rsidR="003D7932" w:rsidRDefault="003D7932" w:rsidP="003D7932">
      <w:pPr>
        <w:spacing w:after="0"/>
        <w:ind w:firstLine="720"/>
        <w:rPr>
          <w:rFonts w:ascii="Times New Roman" w:hAnsi="Times New Roman" w:cs="Times New Roman"/>
          <w:sz w:val="20"/>
          <w:szCs w:val="20"/>
        </w:rPr>
      </w:pPr>
    </w:p>
    <w:p w:rsidR="003D7932" w:rsidRPr="00C32FDE" w:rsidRDefault="003D7932" w:rsidP="003D7932">
      <w:pPr>
        <w:spacing w:after="0"/>
        <w:rPr>
          <w:rFonts w:ascii="Times New Roman" w:hAnsi="Times New Roman" w:cs="Times New Roman"/>
          <w:sz w:val="16"/>
          <w:szCs w:val="16"/>
        </w:rPr>
      </w:pPr>
      <w:proofErr w:type="spellStart"/>
      <w:proofErr w:type="gramStart"/>
      <w:r w:rsidRPr="00C32FDE">
        <w:rPr>
          <w:rFonts w:ascii="Times New Roman" w:hAnsi="Times New Roman" w:cs="Times New Roman"/>
          <w:sz w:val="16"/>
          <w:szCs w:val="16"/>
        </w:rPr>
        <w:t>Hooten</w:t>
      </w:r>
      <w:proofErr w:type="spellEnd"/>
      <w:r w:rsidRPr="00C32FDE">
        <w:rPr>
          <w:rFonts w:ascii="Times New Roman" w:hAnsi="Times New Roman" w:cs="Times New Roman"/>
          <w:sz w:val="16"/>
          <w:szCs w:val="16"/>
        </w:rPr>
        <w:t xml:space="preserve"> MW, et al. Assessment and Management of Chronic Pain.</w:t>
      </w:r>
      <w:proofErr w:type="gramEnd"/>
      <w:r w:rsidRPr="00C32FDE">
        <w:rPr>
          <w:rFonts w:ascii="Times New Roman" w:hAnsi="Times New Roman" w:cs="Times New Roman"/>
          <w:sz w:val="16"/>
          <w:szCs w:val="16"/>
        </w:rPr>
        <w:t xml:space="preserve"> Institute for Clinical Systems Improvement 2011: 5: 1-112</w:t>
      </w:r>
    </w:p>
    <w:p w:rsidR="003D7932" w:rsidRDefault="003D7932" w:rsidP="003D7932">
      <w:pPr>
        <w:spacing w:after="0"/>
        <w:ind w:firstLine="720"/>
        <w:rPr>
          <w:rFonts w:ascii="Times New Roman" w:hAnsi="Times New Roman" w:cs="Times New Roman"/>
          <w:sz w:val="20"/>
          <w:szCs w:val="20"/>
        </w:rPr>
      </w:pPr>
      <w:proofErr w:type="gramStart"/>
      <w:r w:rsidRPr="007B408C">
        <w:rPr>
          <w:rFonts w:ascii="Times New Roman" w:hAnsi="Times New Roman" w:cs="Times New Roman"/>
          <w:sz w:val="20"/>
          <w:szCs w:val="20"/>
        </w:rPr>
        <w:t>ICSI health care guideline detailing chronic pain assessment and management algorithms in flow chart format.</w:t>
      </w:r>
      <w:proofErr w:type="gramEnd"/>
      <w:r w:rsidRPr="007B408C">
        <w:rPr>
          <w:rFonts w:ascii="Times New Roman" w:hAnsi="Times New Roman" w:cs="Times New Roman"/>
          <w:sz w:val="20"/>
          <w:szCs w:val="20"/>
        </w:rPr>
        <w:t xml:space="preserve"> These algorithms serve as over-arching guidelines for approaching pain management in general, but the section on DIRE score is especially useful for assessing the suitability of long-term opioid analgesic treatment in patients with suspected drug abuse. DIRE score is a clinician rating system consisting of 4 factors, namely diagnosis, intractability, risk and efficacy score, used to determine whether a patient is a suitable candidate for opioid maintenance therapy. This guideline can serve as an important clinical decision-making tool when prescribing opioid.</w:t>
      </w:r>
    </w:p>
    <w:p w:rsidR="003D7932" w:rsidRDefault="003D7932" w:rsidP="003D7932">
      <w:pPr>
        <w:spacing w:after="0"/>
        <w:ind w:firstLine="720"/>
        <w:rPr>
          <w:rFonts w:ascii="Times New Roman" w:hAnsi="Times New Roman" w:cs="Times New Roman"/>
          <w:sz w:val="20"/>
          <w:szCs w:val="20"/>
        </w:rPr>
      </w:pPr>
    </w:p>
    <w:p w:rsidR="003D7932" w:rsidRDefault="003D7932" w:rsidP="003D7932">
      <w:pPr>
        <w:spacing w:after="0"/>
        <w:ind w:firstLine="720"/>
        <w:rPr>
          <w:rFonts w:ascii="Times New Roman" w:hAnsi="Times New Roman" w:cs="Times New Roman"/>
          <w:sz w:val="20"/>
          <w:szCs w:val="20"/>
        </w:rPr>
      </w:pPr>
    </w:p>
    <w:p w:rsidR="003D7932" w:rsidRPr="00296EC8" w:rsidRDefault="003D7932" w:rsidP="003D7932">
      <w:pPr>
        <w:spacing w:after="0"/>
        <w:rPr>
          <w:rFonts w:ascii="Times New Roman" w:hAnsi="Times New Roman" w:cs="Times New Roman"/>
          <w:sz w:val="16"/>
          <w:szCs w:val="16"/>
        </w:rPr>
      </w:pPr>
      <w:proofErr w:type="spellStart"/>
      <w:r w:rsidRPr="00296EC8">
        <w:rPr>
          <w:rFonts w:ascii="Times New Roman" w:hAnsi="Times New Roman" w:cs="Times New Roman"/>
          <w:sz w:val="16"/>
          <w:szCs w:val="16"/>
        </w:rPr>
        <w:lastRenderedPageBreak/>
        <w:t>Juurlink</w:t>
      </w:r>
      <w:proofErr w:type="spellEnd"/>
      <w:r w:rsidRPr="00296EC8">
        <w:rPr>
          <w:rFonts w:ascii="Times New Roman" w:hAnsi="Times New Roman" w:cs="Times New Roman"/>
          <w:sz w:val="16"/>
          <w:szCs w:val="16"/>
        </w:rPr>
        <w:t xml:space="preserve"> DN, </w:t>
      </w:r>
      <w:proofErr w:type="spellStart"/>
      <w:r w:rsidRPr="00296EC8">
        <w:rPr>
          <w:rFonts w:ascii="Times New Roman" w:hAnsi="Times New Roman" w:cs="Times New Roman"/>
          <w:sz w:val="16"/>
          <w:szCs w:val="16"/>
        </w:rPr>
        <w:t>Dhalla</w:t>
      </w:r>
      <w:proofErr w:type="spellEnd"/>
      <w:r w:rsidRPr="00296EC8">
        <w:rPr>
          <w:rFonts w:ascii="Times New Roman" w:hAnsi="Times New Roman" w:cs="Times New Roman"/>
          <w:sz w:val="16"/>
          <w:szCs w:val="16"/>
        </w:rPr>
        <w:t xml:space="preserve"> IA. Dependence and Addiction </w:t>
      </w:r>
      <w:proofErr w:type="gramStart"/>
      <w:r w:rsidRPr="00296EC8">
        <w:rPr>
          <w:rFonts w:ascii="Times New Roman" w:hAnsi="Times New Roman" w:cs="Times New Roman"/>
          <w:sz w:val="16"/>
          <w:szCs w:val="16"/>
        </w:rPr>
        <w:t>During</w:t>
      </w:r>
      <w:proofErr w:type="gramEnd"/>
      <w:r w:rsidRPr="00296EC8">
        <w:rPr>
          <w:rFonts w:ascii="Times New Roman" w:hAnsi="Times New Roman" w:cs="Times New Roman"/>
          <w:sz w:val="16"/>
          <w:szCs w:val="16"/>
        </w:rPr>
        <w:t xml:space="preserve"> Chronic Opioid Therapy. J Med </w:t>
      </w:r>
      <w:proofErr w:type="spellStart"/>
      <w:r>
        <w:rPr>
          <w:rFonts w:ascii="Times New Roman" w:hAnsi="Times New Roman" w:cs="Times New Roman"/>
          <w:sz w:val="16"/>
          <w:szCs w:val="16"/>
        </w:rPr>
        <w:t>Toxicol</w:t>
      </w:r>
      <w:proofErr w:type="spellEnd"/>
      <w:r>
        <w:rPr>
          <w:rFonts w:ascii="Times New Roman" w:hAnsi="Times New Roman" w:cs="Times New Roman"/>
          <w:sz w:val="16"/>
          <w:szCs w:val="16"/>
        </w:rPr>
        <w:t xml:space="preserve"> 2012; 8:</w:t>
      </w:r>
      <w:r w:rsidRPr="00296EC8">
        <w:rPr>
          <w:rFonts w:ascii="Times New Roman" w:hAnsi="Times New Roman" w:cs="Times New Roman"/>
          <w:sz w:val="16"/>
          <w:szCs w:val="16"/>
        </w:rPr>
        <w:t xml:space="preserve"> 393-9</w:t>
      </w:r>
    </w:p>
    <w:p w:rsidR="003D7932" w:rsidRDefault="003D7932" w:rsidP="003D7932">
      <w:pPr>
        <w:spacing w:after="0"/>
        <w:ind w:firstLine="720"/>
        <w:rPr>
          <w:rFonts w:ascii="Times New Roman" w:hAnsi="Times New Roman" w:cs="Times New Roman"/>
          <w:sz w:val="20"/>
          <w:szCs w:val="20"/>
        </w:rPr>
      </w:pPr>
      <w:r w:rsidRPr="007B408C">
        <w:rPr>
          <w:rFonts w:ascii="Times New Roman" w:hAnsi="Times New Roman" w:cs="Times New Roman"/>
          <w:sz w:val="20"/>
          <w:szCs w:val="20"/>
        </w:rPr>
        <w:t xml:space="preserve">This narrative review provides a critical appraisal of the publications that support the notion that the risk of addiction during chronic opioid therapy is low. </w:t>
      </w:r>
      <w:r>
        <w:rPr>
          <w:rFonts w:ascii="Times New Roman" w:hAnsi="Times New Roman" w:cs="Times New Roman"/>
          <w:sz w:val="20"/>
          <w:szCs w:val="20"/>
        </w:rPr>
        <w:t>8 articles demonstrating the low risk of opioid addiction during chronic pain therapy</w:t>
      </w:r>
      <w:r w:rsidR="0014593A">
        <w:rPr>
          <w:rFonts w:ascii="Times New Roman" w:hAnsi="Times New Roman" w:cs="Times New Roman"/>
          <w:sz w:val="20"/>
          <w:szCs w:val="20"/>
        </w:rPr>
        <w:t xml:space="preserve"> a</w:t>
      </w:r>
      <w:r>
        <w:rPr>
          <w:rFonts w:ascii="Times New Roman" w:hAnsi="Times New Roman" w:cs="Times New Roman"/>
          <w:sz w:val="20"/>
          <w:szCs w:val="20"/>
        </w:rPr>
        <w:t xml:space="preserve">re reviewed in multiple aspects, including study design, method of diagnosis, sample inclusion/exclusion criteria, patient categorization and duration of study. The results of this review indicate that many of the studies published within the past 25 years are based on outdated data with substantial methodological limitations. Based on more contemporary and rigorous research evidence, this article concludes that opioid dependence and addiction are relatively common consequences of chronic pain management therapy, occurring in up to one-third of patients. While not providing any clinical practice guidelines directly, this publication poses an interesting question of whether previous research studies on chronic opioid therapy can be applied effectively in current medical practice. </w:t>
      </w:r>
    </w:p>
    <w:p w:rsidR="00DF6C66" w:rsidRDefault="00DF6C66" w:rsidP="00DF6C66">
      <w:pPr>
        <w:spacing w:after="0"/>
        <w:rPr>
          <w:rFonts w:ascii="Times New Roman" w:hAnsi="Times New Roman" w:cs="Times New Roman"/>
          <w:sz w:val="20"/>
          <w:szCs w:val="20"/>
        </w:rPr>
      </w:pPr>
    </w:p>
    <w:p w:rsidR="00DF6C66" w:rsidRDefault="00DF6C66" w:rsidP="00DF6C66">
      <w:pPr>
        <w:spacing w:after="0"/>
        <w:rPr>
          <w:rFonts w:ascii="Times New Roman" w:hAnsi="Times New Roman" w:cs="Times New Roman"/>
          <w:sz w:val="16"/>
          <w:szCs w:val="16"/>
        </w:rPr>
      </w:pPr>
      <w:r>
        <w:rPr>
          <w:rFonts w:ascii="Times New Roman" w:hAnsi="Times New Roman" w:cs="Times New Roman"/>
          <w:sz w:val="16"/>
          <w:szCs w:val="16"/>
        </w:rPr>
        <w:t xml:space="preserve">Longo LP. Addiction: Part II. </w:t>
      </w:r>
      <w:proofErr w:type="gramStart"/>
      <w:r>
        <w:rPr>
          <w:rFonts w:ascii="Times New Roman" w:hAnsi="Times New Roman" w:cs="Times New Roman"/>
          <w:sz w:val="16"/>
          <w:szCs w:val="16"/>
        </w:rPr>
        <w:t>Identification and Management of the Drug-Seeking Patient.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Am</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Fam</w:t>
      </w:r>
      <w:proofErr w:type="spellEnd"/>
      <w:r>
        <w:rPr>
          <w:rFonts w:ascii="Times New Roman" w:hAnsi="Times New Roman" w:cs="Times New Roman"/>
          <w:sz w:val="16"/>
          <w:szCs w:val="16"/>
        </w:rPr>
        <w:t xml:space="preserve"> Physician 2000; 15: 2401-2408</w:t>
      </w:r>
    </w:p>
    <w:p w:rsidR="00DF6C66" w:rsidRPr="00DF6C66" w:rsidRDefault="00577DCB" w:rsidP="00DF6C66">
      <w:pPr>
        <w:spacing w:after="0"/>
        <w:rPr>
          <w:rFonts w:ascii="Times New Roman" w:hAnsi="Times New Roman" w:cs="Times New Roman"/>
          <w:sz w:val="20"/>
          <w:szCs w:val="20"/>
        </w:rPr>
      </w:pPr>
      <w:r>
        <w:rPr>
          <w:rFonts w:ascii="Times New Roman" w:hAnsi="Times New Roman" w:cs="Times New Roman"/>
          <w:sz w:val="20"/>
          <w:szCs w:val="20"/>
        </w:rPr>
        <w:tab/>
      </w:r>
      <w:r w:rsidR="0078256F">
        <w:rPr>
          <w:rFonts w:ascii="Times New Roman" w:hAnsi="Times New Roman" w:cs="Times New Roman"/>
          <w:sz w:val="20"/>
          <w:szCs w:val="20"/>
        </w:rPr>
        <w:t xml:space="preserve">This article provides concise overview of pain management in drug-seeking patients. The U.S. Drug Enforcement Agency classification for scheduled substances, characteristics of drugs of abuse and screening methods for addiction are discussed. </w:t>
      </w:r>
      <w:r w:rsidR="00F236E9">
        <w:rPr>
          <w:rFonts w:ascii="Times New Roman" w:hAnsi="Times New Roman" w:cs="Times New Roman"/>
          <w:sz w:val="20"/>
          <w:szCs w:val="20"/>
        </w:rPr>
        <w:t>In addition, relatively unfamiliar</w:t>
      </w:r>
      <w:r w:rsidR="0078256F">
        <w:rPr>
          <w:rFonts w:ascii="Times New Roman" w:hAnsi="Times New Roman" w:cs="Times New Roman"/>
          <w:sz w:val="20"/>
          <w:szCs w:val="20"/>
        </w:rPr>
        <w:t xml:space="preserve"> </w:t>
      </w:r>
      <w:r w:rsidR="00F236E9">
        <w:rPr>
          <w:rFonts w:ascii="Times New Roman" w:hAnsi="Times New Roman" w:cs="Times New Roman"/>
          <w:sz w:val="20"/>
          <w:szCs w:val="20"/>
        </w:rPr>
        <w:t xml:space="preserve">topics such as the characteristics of overprescribing physicians and pharmacologic alternatives to controlled drugs are explored. </w:t>
      </w:r>
    </w:p>
    <w:p w:rsidR="00D63AB4" w:rsidRPr="007B408C" w:rsidRDefault="00D63AB4" w:rsidP="00432B10">
      <w:pPr>
        <w:spacing w:after="0"/>
        <w:rPr>
          <w:rFonts w:ascii="Times New Roman" w:hAnsi="Times New Roman" w:cs="Times New Roman"/>
          <w:sz w:val="20"/>
          <w:szCs w:val="20"/>
        </w:rPr>
      </w:pPr>
    </w:p>
    <w:p w:rsidR="008C4209" w:rsidRPr="007F1371" w:rsidRDefault="008C4209" w:rsidP="00432B10">
      <w:pPr>
        <w:spacing w:after="0"/>
        <w:rPr>
          <w:rFonts w:ascii="Times New Roman" w:hAnsi="Times New Roman" w:cs="Times New Roman"/>
          <w:sz w:val="16"/>
          <w:szCs w:val="16"/>
        </w:rPr>
      </w:pPr>
      <w:proofErr w:type="spellStart"/>
      <w:proofErr w:type="gramStart"/>
      <w:r w:rsidRPr="007F1371">
        <w:rPr>
          <w:rFonts w:ascii="Times New Roman" w:hAnsi="Times New Roman" w:cs="Times New Roman"/>
          <w:sz w:val="16"/>
          <w:szCs w:val="16"/>
        </w:rPr>
        <w:t>Mitra</w:t>
      </w:r>
      <w:proofErr w:type="spellEnd"/>
      <w:r w:rsidRPr="007F1371">
        <w:rPr>
          <w:rFonts w:ascii="Times New Roman" w:hAnsi="Times New Roman" w:cs="Times New Roman"/>
          <w:sz w:val="16"/>
          <w:szCs w:val="16"/>
        </w:rPr>
        <w:t xml:space="preserve"> S, Sinatra R. Perioperative Management of Acute Pain in the Opioid-dependent Pat</w:t>
      </w:r>
      <w:r w:rsidR="00B07561" w:rsidRPr="007F1371">
        <w:rPr>
          <w:rFonts w:ascii="Times New Roman" w:hAnsi="Times New Roman" w:cs="Times New Roman"/>
          <w:sz w:val="16"/>
          <w:szCs w:val="16"/>
        </w:rPr>
        <w:t>i</w:t>
      </w:r>
      <w:r w:rsidR="007F1371" w:rsidRPr="007F1371">
        <w:rPr>
          <w:rFonts w:ascii="Times New Roman" w:hAnsi="Times New Roman" w:cs="Times New Roman"/>
          <w:sz w:val="16"/>
          <w:szCs w:val="16"/>
        </w:rPr>
        <w:t>ent.</w:t>
      </w:r>
      <w:proofErr w:type="gramEnd"/>
      <w:r w:rsidR="007F1371" w:rsidRPr="007F1371">
        <w:rPr>
          <w:rFonts w:ascii="Times New Roman" w:hAnsi="Times New Roman" w:cs="Times New Roman"/>
          <w:sz w:val="16"/>
          <w:szCs w:val="16"/>
        </w:rPr>
        <w:t xml:space="preserve"> Anesthesiology 2004; 101:</w:t>
      </w:r>
      <w:r w:rsidRPr="007F1371">
        <w:rPr>
          <w:rFonts w:ascii="Times New Roman" w:hAnsi="Times New Roman" w:cs="Times New Roman"/>
          <w:sz w:val="16"/>
          <w:szCs w:val="16"/>
        </w:rPr>
        <w:t xml:space="preserve"> 212-27</w:t>
      </w:r>
    </w:p>
    <w:p w:rsidR="00242BB1" w:rsidRPr="007B408C" w:rsidRDefault="00242BB1" w:rsidP="007F1371">
      <w:pPr>
        <w:spacing w:after="0"/>
        <w:ind w:firstLine="720"/>
        <w:rPr>
          <w:rFonts w:ascii="Times New Roman" w:hAnsi="Times New Roman" w:cs="Times New Roman"/>
          <w:sz w:val="20"/>
          <w:szCs w:val="20"/>
        </w:rPr>
      </w:pPr>
      <w:r w:rsidRPr="007B408C">
        <w:rPr>
          <w:rFonts w:ascii="Times New Roman" w:hAnsi="Times New Roman" w:cs="Times New Roman"/>
          <w:sz w:val="20"/>
          <w:szCs w:val="20"/>
        </w:rPr>
        <w:t>Review article</w:t>
      </w:r>
      <w:r w:rsidR="00B07561" w:rsidRPr="007B408C">
        <w:rPr>
          <w:rFonts w:ascii="Times New Roman" w:hAnsi="Times New Roman" w:cs="Times New Roman"/>
          <w:sz w:val="20"/>
          <w:szCs w:val="20"/>
        </w:rPr>
        <w:t xml:space="preserve"> with detailed and comprehensive guidelines for perioperative pain management in opioid-dependent patients.  </w:t>
      </w:r>
      <w:r w:rsidR="00F57EB2" w:rsidRPr="007B408C">
        <w:rPr>
          <w:rFonts w:ascii="Times New Roman" w:hAnsi="Times New Roman" w:cs="Times New Roman"/>
          <w:sz w:val="20"/>
          <w:szCs w:val="20"/>
        </w:rPr>
        <w:t xml:space="preserve">Useful reference for anesthesiology and surgery subspecialties as this article provides specific pain management techniques and methods for perioperative patients. </w:t>
      </w:r>
      <w:r w:rsidR="00FB6825" w:rsidRPr="007B408C">
        <w:rPr>
          <w:rFonts w:ascii="Times New Roman" w:hAnsi="Times New Roman" w:cs="Times New Roman"/>
          <w:sz w:val="20"/>
          <w:szCs w:val="20"/>
        </w:rPr>
        <w:t xml:space="preserve">The “Patient Treatment” portion of this review article is divided into </w:t>
      </w:r>
      <w:r w:rsidR="00DA56E8" w:rsidRPr="007B408C">
        <w:rPr>
          <w:rFonts w:ascii="Times New Roman" w:hAnsi="Times New Roman" w:cs="Times New Roman"/>
          <w:sz w:val="20"/>
          <w:szCs w:val="20"/>
        </w:rPr>
        <w:t>two</w:t>
      </w:r>
      <w:r w:rsidR="00FB6825" w:rsidRPr="007B408C">
        <w:rPr>
          <w:rFonts w:ascii="Times New Roman" w:hAnsi="Times New Roman" w:cs="Times New Roman"/>
          <w:sz w:val="20"/>
          <w:szCs w:val="20"/>
        </w:rPr>
        <w:t xml:space="preserve"> sections (“</w:t>
      </w:r>
      <w:r w:rsidR="00DA56E8" w:rsidRPr="007B408C">
        <w:rPr>
          <w:rFonts w:ascii="Times New Roman" w:hAnsi="Times New Roman" w:cs="Times New Roman"/>
          <w:sz w:val="20"/>
          <w:szCs w:val="20"/>
        </w:rPr>
        <w:t>Preoperative Period</w:t>
      </w:r>
      <w:r w:rsidR="00FB6825" w:rsidRPr="007B408C">
        <w:rPr>
          <w:rFonts w:ascii="Times New Roman" w:hAnsi="Times New Roman" w:cs="Times New Roman"/>
          <w:sz w:val="20"/>
          <w:szCs w:val="20"/>
        </w:rPr>
        <w:t>”</w:t>
      </w:r>
      <w:r w:rsidR="00DA56E8" w:rsidRPr="007B408C">
        <w:rPr>
          <w:rFonts w:ascii="Times New Roman" w:hAnsi="Times New Roman" w:cs="Times New Roman"/>
          <w:sz w:val="20"/>
          <w:szCs w:val="20"/>
        </w:rPr>
        <w:t xml:space="preserve"> and “Intraoperative and Postoperative Periods”)</w:t>
      </w:r>
      <w:r w:rsidR="00DA7F18" w:rsidRPr="007B408C">
        <w:rPr>
          <w:rFonts w:ascii="Times New Roman" w:hAnsi="Times New Roman" w:cs="Times New Roman"/>
          <w:sz w:val="20"/>
          <w:szCs w:val="20"/>
        </w:rPr>
        <w:t xml:space="preserve"> with each section providing pain management regimens tailored to the level of substance dependence.</w:t>
      </w:r>
      <w:r w:rsidR="00FB6825" w:rsidRPr="007B408C">
        <w:rPr>
          <w:rFonts w:ascii="Times New Roman" w:hAnsi="Times New Roman" w:cs="Times New Roman"/>
          <w:sz w:val="20"/>
          <w:szCs w:val="20"/>
        </w:rPr>
        <w:t xml:space="preserve"> </w:t>
      </w:r>
      <w:r w:rsidR="00AB0411" w:rsidRPr="007B408C">
        <w:rPr>
          <w:rFonts w:ascii="Times New Roman" w:hAnsi="Times New Roman" w:cs="Times New Roman"/>
          <w:sz w:val="20"/>
          <w:szCs w:val="20"/>
        </w:rPr>
        <w:t>The initial portion of this paper also gives clear definitions of common terms rel</w:t>
      </w:r>
      <w:r w:rsidR="00FB6825" w:rsidRPr="007B408C">
        <w:rPr>
          <w:rFonts w:ascii="Times New Roman" w:hAnsi="Times New Roman" w:cs="Times New Roman"/>
          <w:sz w:val="20"/>
          <w:szCs w:val="20"/>
        </w:rPr>
        <w:t>ated to substance use disorders such as addiction, dependence, withdrawal, recovery and tolerance,</w:t>
      </w:r>
      <w:r w:rsidR="00AB0411" w:rsidRPr="007B408C">
        <w:rPr>
          <w:rFonts w:ascii="Times New Roman" w:hAnsi="Times New Roman" w:cs="Times New Roman"/>
          <w:sz w:val="20"/>
          <w:szCs w:val="20"/>
        </w:rPr>
        <w:t xml:space="preserve"> which readers may find helpful when discussing pain management.</w:t>
      </w:r>
    </w:p>
    <w:p w:rsidR="00187071" w:rsidRPr="007F1371" w:rsidRDefault="00187071" w:rsidP="00432B10">
      <w:pPr>
        <w:spacing w:after="0"/>
        <w:rPr>
          <w:rFonts w:ascii="Times New Roman" w:hAnsi="Times New Roman" w:cs="Times New Roman"/>
          <w:sz w:val="16"/>
          <w:szCs w:val="16"/>
        </w:rPr>
      </w:pPr>
    </w:p>
    <w:p w:rsidR="00CE6737" w:rsidRPr="003D7932" w:rsidRDefault="00CE6737" w:rsidP="003D7932">
      <w:pPr>
        <w:spacing w:after="0"/>
        <w:rPr>
          <w:rFonts w:ascii="Times New Roman" w:hAnsi="Times New Roman" w:cs="Times New Roman"/>
          <w:sz w:val="20"/>
          <w:szCs w:val="20"/>
        </w:rPr>
      </w:pPr>
      <w:proofErr w:type="gramStart"/>
      <w:r w:rsidRPr="00CE6737">
        <w:rPr>
          <w:rFonts w:ascii="Times New Roman" w:hAnsi="Times New Roman" w:cs="Times New Roman"/>
          <w:sz w:val="16"/>
          <w:szCs w:val="16"/>
        </w:rPr>
        <w:t>Office of National Drug Control Policy.</w:t>
      </w:r>
      <w:proofErr w:type="gramEnd"/>
      <w:r w:rsidRPr="00CE6737">
        <w:rPr>
          <w:rFonts w:ascii="Times New Roman" w:hAnsi="Times New Roman" w:cs="Times New Roman"/>
          <w:sz w:val="16"/>
          <w:szCs w:val="16"/>
        </w:rPr>
        <w:t xml:space="preserve"> Epidemic: Responding to America’s Prescription Drug Abuse Crisis 2011</w:t>
      </w:r>
      <w:r>
        <w:rPr>
          <w:rFonts w:ascii="Times New Roman" w:hAnsi="Times New Roman" w:cs="Times New Roman"/>
          <w:sz w:val="16"/>
          <w:szCs w:val="16"/>
        </w:rPr>
        <w:t xml:space="preserve">. </w:t>
      </w:r>
      <w:hyperlink r:id="rId4" w:history="1">
        <w:r w:rsidRPr="00CE6737">
          <w:rPr>
            <w:rFonts w:ascii="Times New Roman" w:hAnsi="Times New Roman" w:cs="Times New Roman"/>
            <w:color w:val="336699"/>
            <w:sz w:val="16"/>
            <w:szCs w:val="16"/>
            <w:lang/>
          </w:rPr>
          <w:t>http://www.whitehousedrugpolicy.gov/prescriptiondrugs/</w:t>
        </w:r>
      </w:hyperlink>
      <w:r>
        <w:rPr>
          <w:rFonts w:ascii="Times New Roman" w:hAnsi="Times New Roman" w:cs="Times New Roman"/>
          <w:color w:val="333333"/>
          <w:sz w:val="16"/>
          <w:szCs w:val="16"/>
          <w:lang/>
        </w:rPr>
        <w:t xml:space="preserve">. </w:t>
      </w:r>
      <w:proofErr w:type="gramStart"/>
      <w:r>
        <w:rPr>
          <w:rFonts w:ascii="Times New Roman" w:hAnsi="Times New Roman" w:cs="Times New Roman"/>
          <w:color w:val="333333"/>
          <w:sz w:val="16"/>
          <w:szCs w:val="16"/>
          <w:lang/>
        </w:rPr>
        <w:t>Accessed 4</w:t>
      </w:r>
      <w:r w:rsidRPr="00CE6737">
        <w:rPr>
          <w:rFonts w:ascii="Times New Roman" w:hAnsi="Times New Roman" w:cs="Times New Roman"/>
          <w:color w:val="333333"/>
          <w:sz w:val="16"/>
          <w:szCs w:val="16"/>
          <w:vertAlign w:val="superscript"/>
          <w:lang/>
        </w:rPr>
        <w:t>th</w:t>
      </w:r>
      <w:r>
        <w:rPr>
          <w:rFonts w:ascii="Times New Roman" w:hAnsi="Times New Roman" w:cs="Times New Roman"/>
          <w:color w:val="333333"/>
          <w:sz w:val="16"/>
          <w:szCs w:val="16"/>
          <w:lang/>
        </w:rPr>
        <w:t xml:space="preserve"> November, 2013.</w:t>
      </w:r>
      <w:proofErr w:type="gramEnd"/>
    </w:p>
    <w:p w:rsidR="00CE6737" w:rsidRDefault="00CE6737" w:rsidP="00CE6737">
      <w:pPr>
        <w:spacing w:after="0"/>
        <w:ind w:firstLine="720"/>
        <w:rPr>
          <w:rFonts w:ascii="Times New Roman" w:hAnsi="Times New Roman" w:cs="Times New Roman"/>
          <w:sz w:val="20"/>
          <w:szCs w:val="20"/>
        </w:rPr>
      </w:pPr>
      <w:r>
        <w:rPr>
          <w:rFonts w:ascii="Times New Roman" w:hAnsi="Times New Roman" w:cs="Times New Roman"/>
          <w:sz w:val="20"/>
          <w:szCs w:val="20"/>
        </w:rPr>
        <w:t>This Prescription drug abuse prevention plan released by the Office of National Drug Control Policy in 2011 expands upon the Obama Administration’s National Drug Control Strategy. This plan provides detailed outline of the four major areas of action, including Education, Monitoring, Proper Medi</w:t>
      </w:r>
      <w:r w:rsidR="00D11A2E">
        <w:rPr>
          <w:rFonts w:ascii="Times New Roman" w:hAnsi="Times New Roman" w:cs="Times New Roman"/>
          <w:sz w:val="20"/>
          <w:szCs w:val="20"/>
        </w:rPr>
        <w:t xml:space="preserve">cation Disposal and Enforcement, intended to reduce prescription drug abuse. </w:t>
      </w:r>
      <w:r w:rsidR="00D34CD0">
        <w:rPr>
          <w:rFonts w:ascii="Times New Roman" w:hAnsi="Times New Roman" w:cs="Times New Roman"/>
          <w:sz w:val="20"/>
          <w:szCs w:val="20"/>
        </w:rPr>
        <w:t xml:space="preserve">Suitable resource for readers interested in learning about nation-wide strategies and prevention plans for reducing medication abuse. </w:t>
      </w:r>
      <w:r w:rsidR="00993DEE">
        <w:rPr>
          <w:rFonts w:ascii="Times New Roman" w:hAnsi="Times New Roman" w:cs="Times New Roman"/>
          <w:sz w:val="20"/>
          <w:szCs w:val="20"/>
        </w:rPr>
        <w:t>The four core action</w:t>
      </w:r>
      <w:r w:rsidR="00D34CD0">
        <w:rPr>
          <w:rFonts w:ascii="Times New Roman" w:hAnsi="Times New Roman" w:cs="Times New Roman"/>
          <w:sz w:val="20"/>
          <w:szCs w:val="20"/>
        </w:rPr>
        <w:t xml:space="preserve"> plans include raising public awareness about the dangers of prescription drug abuse, implementing effective prescription drug monitoring programs, developing consumer-friendly prescription drug disposal programs and providing adequate law enforcement agencies. </w:t>
      </w:r>
      <w:r w:rsidR="00993DEE">
        <w:rPr>
          <w:rFonts w:ascii="Times New Roman" w:hAnsi="Times New Roman" w:cs="Times New Roman"/>
          <w:sz w:val="20"/>
          <w:szCs w:val="20"/>
        </w:rPr>
        <w:t>The prevention plan</w:t>
      </w:r>
      <w:r w:rsidR="00C87EBF">
        <w:rPr>
          <w:rFonts w:ascii="Times New Roman" w:hAnsi="Times New Roman" w:cs="Times New Roman"/>
          <w:sz w:val="20"/>
          <w:szCs w:val="20"/>
        </w:rPr>
        <w:t xml:space="preserve"> demonstrates the wide-spread prevalence of prescribed medication abuse a</w:t>
      </w:r>
      <w:r w:rsidR="00993DEE">
        <w:rPr>
          <w:rFonts w:ascii="Times New Roman" w:hAnsi="Times New Roman" w:cs="Times New Roman"/>
          <w:sz w:val="20"/>
          <w:szCs w:val="20"/>
        </w:rPr>
        <w:t xml:space="preserve">nd stresses the importance of governmental intervention in combating </w:t>
      </w:r>
      <w:r w:rsidR="00395AB4">
        <w:rPr>
          <w:rFonts w:ascii="Times New Roman" w:hAnsi="Times New Roman" w:cs="Times New Roman"/>
          <w:sz w:val="20"/>
          <w:szCs w:val="20"/>
        </w:rPr>
        <w:t>this issue</w:t>
      </w:r>
      <w:r w:rsidR="00993DEE">
        <w:rPr>
          <w:rFonts w:ascii="Times New Roman" w:hAnsi="Times New Roman" w:cs="Times New Roman"/>
          <w:sz w:val="20"/>
          <w:szCs w:val="20"/>
        </w:rPr>
        <w:t>.</w:t>
      </w:r>
    </w:p>
    <w:p w:rsidR="00D75B1D" w:rsidRDefault="00D75B1D" w:rsidP="00D75B1D">
      <w:pPr>
        <w:spacing w:after="0"/>
        <w:ind w:firstLine="720"/>
        <w:rPr>
          <w:rFonts w:ascii="Times New Roman" w:hAnsi="Times New Roman" w:cs="Times New Roman"/>
          <w:sz w:val="20"/>
          <w:szCs w:val="20"/>
        </w:rPr>
      </w:pPr>
    </w:p>
    <w:p w:rsidR="00D75B1D" w:rsidRDefault="00D75B1D" w:rsidP="00D75B1D">
      <w:pPr>
        <w:spacing w:after="0"/>
        <w:ind w:firstLine="720"/>
        <w:rPr>
          <w:rFonts w:ascii="Times New Roman" w:hAnsi="Times New Roman" w:cs="Times New Roman"/>
          <w:sz w:val="20"/>
          <w:szCs w:val="20"/>
          <w:lang/>
        </w:rPr>
      </w:pPr>
    </w:p>
    <w:p w:rsidR="001E7FBB" w:rsidRPr="007B408C" w:rsidRDefault="001E7FBB" w:rsidP="00432B10">
      <w:pPr>
        <w:spacing w:after="0"/>
        <w:rPr>
          <w:rFonts w:ascii="Times New Roman" w:hAnsi="Times New Roman" w:cs="Times New Roman"/>
          <w:sz w:val="20"/>
          <w:szCs w:val="20"/>
        </w:rPr>
      </w:pPr>
    </w:p>
    <w:p w:rsidR="001E7FBB" w:rsidRPr="007B408C" w:rsidRDefault="001E7FBB" w:rsidP="00432B10">
      <w:pPr>
        <w:spacing w:after="0"/>
        <w:rPr>
          <w:rFonts w:ascii="Times New Roman" w:hAnsi="Times New Roman" w:cs="Times New Roman"/>
          <w:sz w:val="20"/>
          <w:szCs w:val="20"/>
        </w:rPr>
      </w:pPr>
    </w:p>
    <w:p w:rsidR="00583051" w:rsidRPr="007B408C" w:rsidRDefault="00583051" w:rsidP="00432B10">
      <w:pPr>
        <w:spacing w:after="0"/>
        <w:rPr>
          <w:rFonts w:ascii="Times New Roman" w:hAnsi="Times New Roman" w:cs="Times New Roman"/>
          <w:sz w:val="20"/>
          <w:szCs w:val="20"/>
        </w:rPr>
      </w:pPr>
    </w:p>
    <w:p w:rsidR="0071266B" w:rsidRPr="007B408C" w:rsidRDefault="0071266B" w:rsidP="00432B10">
      <w:pPr>
        <w:spacing w:after="0"/>
        <w:rPr>
          <w:rFonts w:ascii="Times New Roman" w:hAnsi="Times New Roman" w:cs="Times New Roman"/>
          <w:sz w:val="20"/>
          <w:szCs w:val="20"/>
        </w:rPr>
      </w:pPr>
    </w:p>
    <w:p w:rsidR="00873836" w:rsidRPr="007B408C" w:rsidRDefault="00873836" w:rsidP="00432B10">
      <w:pPr>
        <w:spacing w:after="0"/>
        <w:rPr>
          <w:rFonts w:ascii="Times New Roman" w:hAnsi="Times New Roman" w:cs="Times New Roman"/>
          <w:sz w:val="20"/>
          <w:szCs w:val="20"/>
        </w:rPr>
      </w:pPr>
    </w:p>
    <w:p w:rsidR="001E3054" w:rsidRPr="007B408C" w:rsidRDefault="001E3054" w:rsidP="00432B10">
      <w:pPr>
        <w:spacing w:after="0"/>
        <w:rPr>
          <w:rFonts w:ascii="Times New Roman" w:hAnsi="Times New Roman" w:cs="Times New Roman"/>
          <w:sz w:val="20"/>
          <w:szCs w:val="20"/>
        </w:rPr>
      </w:pPr>
    </w:p>
    <w:p w:rsidR="001E3054" w:rsidRPr="007B408C" w:rsidRDefault="001E3054" w:rsidP="00432B10">
      <w:pPr>
        <w:spacing w:after="0"/>
        <w:rPr>
          <w:rFonts w:ascii="Times New Roman" w:hAnsi="Times New Roman" w:cs="Times New Roman"/>
          <w:sz w:val="20"/>
          <w:szCs w:val="20"/>
        </w:rPr>
      </w:pPr>
    </w:p>
    <w:p w:rsidR="001E3054" w:rsidRPr="007B408C" w:rsidRDefault="001E3054" w:rsidP="00432B10">
      <w:pPr>
        <w:spacing w:after="0"/>
        <w:rPr>
          <w:rFonts w:ascii="Times New Roman" w:hAnsi="Times New Roman" w:cs="Times New Roman"/>
          <w:sz w:val="20"/>
          <w:szCs w:val="20"/>
        </w:rPr>
      </w:pPr>
    </w:p>
    <w:p w:rsidR="00D24526" w:rsidRPr="007B408C" w:rsidRDefault="00D24526" w:rsidP="00432B10">
      <w:pPr>
        <w:spacing w:after="0"/>
        <w:rPr>
          <w:rFonts w:ascii="Times New Roman" w:hAnsi="Times New Roman" w:cs="Times New Roman"/>
          <w:sz w:val="20"/>
          <w:szCs w:val="20"/>
        </w:rPr>
      </w:pPr>
    </w:p>
    <w:p w:rsidR="00D24526" w:rsidRPr="007B408C" w:rsidRDefault="00D24526" w:rsidP="00432B10">
      <w:pPr>
        <w:spacing w:after="0"/>
        <w:rPr>
          <w:rFonts w:ascii="Times New Roman" w:hAnsi="Times New Roman" w:cs="Times New Roman"/>
          <w:sz w:val="20"/>
          <w:szCs w:val="20"/>
        </w:rPr>
      </w:pPr>
    </w:p>
    <w:sectPr w:rsidR="00D24526" w:rsidRPr="007B408C" w:rsidSect="001A0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23B61"/>
    <w:rsid w:val="000870A9"/>
    <w:rsid w:val="000E3EB3"/>
    <w:rsid w:val="000F271D"/>
    <w:rsid w:val="0014593A"/>
    <w:rsid w:val="00162A11"/>
    <w:rsid w:val="00187071"/>
    <w:rsid w:val="001A0FDA"/>
    <w:rsid w:val="001B507D"/>
    <w:rsid w:val="001E3054"/>
    <w:rsid w:val="001E7FBB"/>
    <w:rsid w:val="00223A2D"/>
    <w:rsid w:val="00224775"/>
    <w:rsid w:val="00233E0F"/>
    <w:rsid w:val="00242BB1"/>
    <w:rsid w:val="002619E2"/>
    <w:rsid w:val="00266E61"/>
    <w:rsid w:val="00296327"/>
    <w:rsid w:val="00296EC8"/>
    <w:rsid w:val="002F2BA7"/>
    <w:rsid w:val="00323794"/>
    <w:rsid w:val="00355BE7"/>
    <w:rsid w:val="00395AB4"/>
    <w:rsid w:val="003C0BF5"/>
    <w:rsid w:val="003C1847"/>
    <w:rsid w:val="003C5E88"/>
    <w:rsid w:val="003D7932"/>
    <w:rsid w:val="00403AC7"/>
    <w:rsid w:val="0042630A"/>
    <w:rsid w:val="00432B10"/>
    <w:rsid w:val="00434358"/>
    <w:rsid w:val="00437E84"/>
    <w:rsid w:val="004B6CF6"/>
    <w:rsid w:val="004E479E"/>
    <w:rsid w:val="004E75C4"/>
    <w:rsid w:val="004F47CE"/>
    <w:rsid w:val="004F6074"/>
    <w:rsid w:val="00535896"/>
    <w:rsid w:val="00577DCB"/>
    <w:rsid w:val="00583051"/>
    <w:rsid w:val="00591E7B"/>
    <w:rsid w:val="00622975"/>
    <w:rsid w:val="00650694"/>
    <w:rsid w:val="00664DEA"/>
    <w:rsid w:val="00665CEA"/>
    <w:rsid w:val="006B7899"/>
    <w:rsid w:val="006D179B"/>
    <w:rsid w:val="007012A3"/>
    <w:rsid w:val="0071266B"/>
    <w:rsid w:val="00712712"/>
    <w:rsid w:val="00720CA0"/>
    <w:rsid w:val="00763717"/>
    <w:rsid w:val="00773C56"/>
    <w:rsid w:val="007779F4"/>
    <w:rsid w:val="0078256F"/>
    <w:rsid w:val="007A1802"/>
    <w:rsid w:val="007B408C"/>
    <w:rsid w:val="007F0040"/>
    <w:rsid w:val="007F1371"/>
    <w:rsid w:val="00821887"/>
    <w:rsid w:val="00873836"/>
    <w:rsid w:val="00874D45"/>
    <w:rsid w:val="008C3737"/>
    <w:rsid w:val="008C4209"/>
    <w:rsid w:val="008C769C"/>
    <w:rsid w:val="009135DF"/>
    <w:rsid w:val="009315BD"/>
    <w:rsid w:val="009755ED"/>
    <w:rsid w:val="00982B1B"/>
    <w:rsid w:val="00993DEE"/>
    <w:rsid w:val="00A23B0D"/>
    <w:rsid w:val="00A82DD3"/>
    <w:rsid w:val="00A844C4"/>
    <w:rsid w:val="00AA17B5"/>
    <w:rsid w:val="00AB0411"/>
    <w:rsid w:val="00AB1AD3"/>
    <w:rsid w:val="00AB30D9"/>
    <w:rsid w:val="00AC27E7"/>
    <w:rsid w:val="00AE3233"/>
    <w:rsid w:val="00B07561"/>
    <w:rsid w:val="00B24560"/>
    <w:rsid w:val="00B31B84"/>
    <w:rsid w:val="00B67F5F"/>
    <w:rsid w:val="00B70A55"/>
    <w:rsid w:val="00BD1C0A"/>
    <w:rsid w:val="00C32FDE"/>
    <w:rsid w:val="00C70531"/>
    <w:rsid w:val="00C87EBF"/>
    <w:rsid w:val="00CA543D"/>
    <w:rsid w:val="00CE6737"/>
    <w:rsid w:val="00D0288B"/>
    <w:rsid w:val="00D11A2E"/>
    <w:rsid w:val="00D24526"/>
    <w:rsid w:val="00D34CD0"/>
    <w:rsid w:val="00D57BBD"/>
    <w:rsid w:val="00D63AB4"/>
    <w:rsid w:val="00D75B1D"/>
    <w:rsid w:val="00DA5049"/>
    <w:rsid w:val="00DA56E8"/>
    <w:rsid w:val="00DA7F18"/>
    <w:rsid w:val="00DB4F69"/>
    <w:rsid w:val="00DD7B99"/>
    <w:rsid w:val="00DF6C66"/>
    <w:rsid w:val="00E23B61"/>
    <w:rsid w:val="00ED41E3"/>
    <w:rsid w:val="00EF4977"/>
    <w:rsid w:val="00F15BC2"/>
    <w:rsid w:val="00F236E9"/>
    <w:rsid w:val="00F47C8D"/>
    <w:rsid w:val="00F54C21"/>
    <w:rsid w:val="00F57EB2"/>
    <w:rsid w:val="00F80667"/>
    <w:rsid w:val="00FB68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526"/>
    <w:rPr>
      <w:color w:val="0000FF" w:themeColor="hyperlink"/>
      <w:u w:val="single"/>
    </w:rPr>
  </w:style>
  <w:style w:type="character" w:styleId="FollowedHyperlink">
    <w:name w:val="FollowedHyperlink"/>
    <w:basedOn w:val="DefaultParagraphFont"/>
    <w:uiPriority w:val="99"/>
    <w:semiHidden/>
    <w:unhideWhenUsed/>
    <w:rsid w:val="001E3054"/>
    <w:rPr>
      <w:color w:val="800080" w:themeColor="followedHyperlink"/>
      <w:u w:val="single"/>
    </w:rPr>
  </w:style>
  <w:style w:type="character" w:customStyle="1" w:styleId="wcm-region">
    <w:name w:val="wcm-region"/>
    <w:basedOn w:val="DefaultParagraphFont"/>
    <w:rsid w:val="008C4209"/>
  </w:style>
  <w:style w:type="paragraph" w:styleId="NormalWeb">
    <w:name w:val="Normal (Web)"/>
    <w:basedOn w:val="Normal"/>
    <w:uiPriority w:val="99"/>
    <w:semiHidden/>
    <w:unhideWhenUsed/>
    <w:rsid w:val="008C4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_number"/>
    <w:basedOn w:val="DefaultParagraphFont"/>
    <w:rsid w:val="008C4209"/>
  </w:style>
  <w:style w:type="character" w:customStyle="1" w:styleId="disease3">
    <w:name w:val="disease3"/>
    <w:basedOn w:val="DefaultParagraphFont"/>
    <w:rsid w:val="003C1847"/>
  </w:style>
  <w:style w:type="character" w:customStyle="1" w:styleId="geneontology3">
    <w:name w:val="geneontology3"/>
    <w:basedOn w:val="DefaultParagraphFont"/>
    <w:rsid w:val="003C1847"/>
  </w:style>
</w:styles>
</file>

<file path=word/webSettings.xml><?xml version="1.0" encoding="utf-8"?>
<w:webSettings xmlns:r="http://schemas.openxmlformats.org/officeDocument/2006/relationships" xmlns:w="http://schemas.openxmlformats.org/wordprocessingml/2006/main">
  <w:divs>
    <w:div w:id="267927620">
      <w:bodyDiv w:val="1"/>
      <w:marLeft w:val="0"/>
      <w:marRight w:val="0"/>
      <w:marTop w:val="0"/>
      <w:marBottom w:val="0"/>
      <w:divBdr>
        <w:top w:val="none" w:sz="0" w:space="0" w:color="auto"/>
        <w:left w:val="none" w:sz="0" w:space="0" w:color="auto"/>
        <w:bottom w:val="none" w:sz="0" w:space="0" w:color="auto"/>
        <w:right w:val="none" w:sz="0" w:space="0" w:color="auto"/>
      </w:divBdr>
      <w:divsChild>
        <w:div w:id="1312516494">
          <w:marLeft w:val="0"/>
          <w:marRight w:val="0"/>
          <w:marTop w:val="0"/>
          <w:marBottom w:val="0"/>
          <w:divBdr>
            <w:top w:val="none" w:sz="0" w:space="0" w:color="auto"/>
            <w:left w:val="none" w:sz="0" w:space="0" w:color="auto"/>
            <w:bottom w:val="none" w:sz="0" w:space="0" w:color="auto"/>
            <w:right w:val="none" w:sz="0" w:space="0" w:color="auto"/>
          </w:divBdr>
          <w:divsChild>
            <w:div w:id="1241019355">
              <w:marLeft w:val="0"/>
              <w:marRight w:val="0"/>
              <w:marTop w:val="0"/>
              <w:marBottom w:val="0"/>
              <w:divBdr>
                <w:top w:val="none" w:sz="0" w:space="0" w:color="auto"/>
                <w:left w:val="none" w:sz="0" w:space="0" w:color="auto"/>
                <w:bottom w:val="none" w:sz="0" w:space="0" w:color="auto"/>
                <w:right w:val="none" w:sz="0" w:space="0" w:color="auto"/>
              </w:divBdr>
              <w:divsChild>
                <w:div w:id="269170167">
                  <w:marLeft w:val="0"/>
                  <w:marRight w:val="0"/>
                  <w:marTop w:val="0"/>
                  <w:marBottom w:val="0"/>
                  <w:divBdr>
                    <w:top w:val="none" w:sz="0" w:space="0" w:color="auto"/>
                    <w:left w:val="none" w:sz="0" w:space="0" w:color="auto"/>
                    <w:bottom w:val="none" w:sz="0" w:space="0" w:color="auto"/>
                    <w:right w:val="none" w:sz="0" w:space="0" w:color="auto"/>
                  </w:divBdr>
                  <w:divsChild>
                    <w:div w:id="1451050643">
                      <w:marLeft w:val="0"/>
                      <w:marRight w:val="0"/>
                      <w:marTop w:val="0"/>
                      <w:marBottom w:val="0"/>
                      <w:divBdr>
                        <w:top w:val="none" w:sz="0" w:space="0" w:color="auto"/>
                        <w:left w:val="none" w:sz="0" w:space="0" w:color="auto"/>
                        <w:bottom w:val="none" w:sz="0" w:space="0" w:color="auto"/>
                        <w:right w:val="none" w:sz="0" w:space="0" w:color="auto"/>
                      </w:divBdr>
                      <w:divsChild>
                        <w:div w:id="1968657212">
                          <w:marLeft w:val="0"/>
                          <w:marRight w:val="0"/>
                          <w:marTop w:val="0"/>
                          <w:marBottom w:val="0"/>
                          <w:divBdr>
                            <w:top w:val="none" w:sz="0" w:space="0" w:color="auto"/>
                            <w:left w:val="none" w:sz="0" w:space="0" w:color="auto"/>
                            <w:bottom w:val="none" w:sz="0" w:space="0" w:color="auto"/>
                            <w:right w:val="none" w:sz="0" w:space="0" w:color="auto"/>
                          </w:divBdr>
                          <w:divsChild>
                            <w:div w:id="1807116762">
                              <w:marLeft w:val="0"/>
                              <w:marRight w:val="0"/>
                              <w:marTop w:val="0"/>
                              <w:marBottom w:val="0"/>
                              <w:divBdr>
                                <w:top w:val="none" w:sz="0" w:space="0" w:color="auto"/>
                                <w:left w:val="none" w:sz="0" w:space="0" w:color="auto"/>
                                <w:bottom w:val="none" w:sz="0" w:space="0" w:color="auto"/>
                                <w:right w:val="none" w:sz="0" w:space="0" w:color="auto"/>
                              </w:divBdr>
                              <w:divsChild>
                                <w:div w:id="2047296363">
                                  <w:marLeft w:val="0"/>
                                  <w:marRight w:val="0"/>
                                  <w:marTop w:val="0"/>
                                  <w:marBottom w:val="0"/>
                                  <w:divBdr>
                                    <w:top w:val="none" w:sz="0" w:space="0" w:color="auto"/>
                                    <w:left w:val="none" w:sz="0" w:space="0" w:color="auto"/>
                                    <w:bottom w:val="none" w:sz="0" w:space="0" w:color="auto"/>
                                    <w:right w:val="none" w:sz="0" w:space="0" w:color="auto"/>
                                  </w:divBdr>
                                  <w:divsChild>
                                    <w:div w:id="1877154587">
                                      <w:marLeft w:val="150"/>
                                      <w:marRight w:val="150"/>
                                      <w:marTop w:val="0"/>
                                      <w:marBottom w:val="600"/>
                                      <w:divBdr>
                                        <w:top w:val="none" w:sz="0" w:space="0" w:color="auto"/>
                                        <w:left w:val="none" w:sz="0" w:space="0" w:color="auto"/>
                                        <w:bottom w:val="none" w:sz="0" w:space="0" w:color="auto"/>
                                        <w:right w:val="none" w:sz="0" w:space="0" w:color="auto"/>
                                      </w:divBdr>
                                    </w:div>
                                    <w:div w:id="2107726851">
                                      <w:marLeft w:val="150"/>
                                      <w:marRight w:val="150"/>
                                      <w:marTop w:val="0"/>
                                      <w:marBottom w:val="600"/>
                                      <w:divBdr>
                                        <w:top w:val="none" w:sz="0" w:space="0" w:color="auto"/>
                                        <w:left w:val="none" w:sz="0" w:space="0" w:color="auto"/>
                                        <w:bottom w:val="none" w:sz="0" w:space="0" w:color="auto"/>
                                        <w:right w:val="none" w:sz="0" w:space="0" w:color="auto"/>
                                      </w:divBdr>
                                    </w:div>
                                    <w:div w:id="29576603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50680">
      <w:bodyDiv w:val="1"/>
      <w:marLeft w:val="0"/>
      <w:marRight w:val="0"/>
      <w:marTop w:val="0"/>
      <w:marBottom w:val="0"/>
      <w:divBdr>
        <w:top w:val="none" w:sz="0" w:space="0" w:color="auto"/>
        <w:left w:val="none" w:sz="0" w:space="0" w:color="auto"/>
        <w:bottom w:val="none" w:sz="0" w:space="0" w:color="auto"/>
        <w:right w:val="none" w:sz="0" w:space="0" w:color="auto"/>
      </w:divBdr>
      <w:divsChild>
        <w:div w:id="787745258">
          <w:marLeft w:val="0"/>
          <w:marRight w:val="0"/>
          <w:marTop w:val="0"/>
          <w:marBottom w:val="0"/>
          <w:divBdr>
            <w:top w:val="none" w:sz="0" w:space="0" w:color="auto"/>
            <w:left w:val="none" w:sz="0" w:space="0" w:color="auto"/>
            <w:bottom w:val="none" w:sz="0" w:space="0" w:color="auto"/>
            <w:right w:val="none" w:sz="0" w:space="0" w:color="auto"/>
          </w:divBdr>
          <w:divsChild>
            <w:div w:id="1003439167">
              <w:marLeft w:val="0"/>
              <w:marRight w:val="0"/>
              <w:marTop w:val="0"/>
              <w:marBottom w:val="0"/>
              <w:divBdr>
                <w:top w:val="none" w:sz="0" w:space="0" w:color="auto"/>
                <w:left w:val="none" w:sz="0" w:space="0" w:color="auto"/>
                <w:bottom w:val="none" w:sz="0" w:space="0" w:color="auto"/>
                <w:right w:val="none" w:sz="0" w:space="0" w:color="auto"/>
              </w:divBdr>
              <w:divsChild>
                <w:div w:id="1484201928">
                  <w:marLeft w:val="0"/>
                  <w:marRight w:val="0"/>
                  <w:marTop w:val="0"/>
                  <w:marBottom w:val="0"/>
                  <w:divBdr>
                    <w:top w:val="none" w:sz="0" w:space="0" w:color="auto"/>
                    <w:left w:val="none" w:sz="0" w:space="0" w:color="auto"/>
                    <w:bottom w:val="none" w:sz="0" w:space="0" w:color="auto"/>
                    <w:right w:val="none" w:sz="0" w:space="0" w:color="auto"/>
                  </w:divBdr>
                  <w:divsChild>
                    <w:div w:id="1169294852">
                      <w:marLeft w:val="0"/>
                      <w:marRight w:val="0"/>
                      <w:marTop w:val="0"/>
                      <w:marBottom w:val="0"/>
                      <w:divBdr>
                        <w:top w:val="none" w:sz="0" w:space="0" w:color="auto"/>
                        <w:left w:val="none" w:sz="0" w:space="0" w:color="auto"/>
                        <w:bottom w:val="none" w:sz="0" w:space="0" w:color="auto"/>
                        <w:right w:val="none" w:sz="0" w:space="0" w:color="auto"/>
                      </w:divBdr>
                      <w:divsChild>
                        <w:div w:id="267735511">
                          <w:marLeft w:val="0"/>
                          <w:marRight w:val="0"/>
                          <w:marTop w:val="0"/>
                          <w:marBottom w:val="0"/>
                          <w:divBdr>
                            <w:top w:val="none" w:sz="0" w:space="0" w:color="auto"/>
                            <w:left w:val="none" w:sz="0" w:space="0" w:color="auto"/>
                            <w:bottom w:val="none" w:sz="0" w:space="0" w:color="auto"/>
                            <w:right w:val="none" w:sz="0" w:space="0" w:color="auto"/>
                          </w:divBdr>
                          <w:divsChild>
                            <w:div w:id="92282205">
                              <w:marLeft w:val="0"/>
                              <w:marRight w:val="0"/>
                              <w:marTop w:val="0"/>
                              <w:marBottom w:val="0"/>
                              <w:divBdr>
                                <w:top w:val="none" w:sz="0" w:space="0" w:color="auto"/>
                                <w:left w:val="none" w:sz="0" w:space="0" w:color="auto"/>
                                <w:bottom w:val="none" w:sz="0" w:space="0" w:color="auto"/>
                                <w:right w:val="none" w:sz="0" w:space="0" w:color="auto"/>
                              </w:divBdr>
                            </w:div>
                            <w:div w:id="4048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633833">
      <w:bodyDiv w:val="1"/>
      <w:marLeft w:val="0"/>
      <w:marRight w:val="0"/>
      <w:marTop w:val="0"/>
      <w:marBottom w:val="0"/>
      <w:divBdr>
        <w:top w:val="none" w:sz="0" w:space="0" w:color="auto"/>
        <w:left w:val="none" w:sz="0" w:space="0" w:color="auto"/>
        <w:bottom w:val="none" w:sz="0" w:space="0" w:color="auto"/>
        <w:right w:val="none" w:sz="0" w:space="0" w:color="auto"/>
      </w:divBdr>
      <w:divsChild>
        <w:div w:id="434255708">
          <w:marLeft w:val="0"/>
          <w:marRight w:val="0"/>
          <w:marTop w:val="0"/>
          <w:marBottom w:val="0"/>
          <w:divBdr>
            <w:top w:val="none" w:sz="0" w:space="0" w:color="auto"/>
            <w:left w:val="none" w:sz="0" w:space="0" w:color="auto"/>
            <w:bottom w:val="none" w:sz="0" w:space="0" w:color="auto"/>
            <w:right w:val="none" w:sz="0" w:space="0" w:color="auto"/>
          </w:divBdr>
          <w:divsChild>
            <w:div w:id="1555922049">
              <w:marLeft w:val="0"/>
              <w:marRight w:val="0"/>
              <w:marTop w:val="0"/>
              <w:marBottom w:val="0"/>
              <w:divBdr>
                <w:top w:val="none" w:sz="0" w:space="0" w:color="auto"/>
                <w:left w:val="none" w:sz="0" w:space="0" w:color="auto"/>
                <w:bottom w:val="none" w:sz="0" w:space="0" w:color="auto"/>
                <w:right w:val="none" w:sz="0" w:space="0" w:color="auto"/>
              </w:divBdr>
              <w:divsChild>
                <w:div w:id="213854507">
                  <w:marLeft w:val="0"/>
                  <w:marRight w:val="0"/>
                  <w:marTop w:val="0"/>
                  <w:marBottom w:val="0"/>
                  <w:divBdr>
                    <w:top w:val="none" w:sz="0" w:space="0" w:color="auto"/>
                    <w:left w:val="none" w:sz="0" w:space="0" w:color="auto"/>
                    <w:bottom w:val="none" w:sz="0" w:space="0" w:color="auto"/>
                    <w:right w:val="none" w:sz="0" w:space="0" w:color="auto"/>
                  </w:divBdr>
                  <w:divsChild>
                    <w:div w:id="17750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hitehousedrugpolicy.gov/prescriptiondr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Roh</dc:creator>
  <cp:lastModifiedBy>Justin Roh</cp:lastModifiedBy>
  <cp:revision>132</cp:revision>
  <dcterms:created xsi:type="dcterms:W3CDTF">2013-11-09T21:56:00Z</dcterms:created>
  <dcterms:modified xsi:type="dcterms:W3CDTF">2013-11-11T06:16:00Z</dcterms:modified>
</cp:coreProperties>
</file>