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2A53" w14:textId="77777777" w:rsidR="00074050" w:rsidRPr="000F5C72" w:rsidRDefault="00074050" w:rsidP="003F5D06">
      <w:pPr>
        <w:autoSpaceDE w:val="0"/>
        <w:autoSpaceDN w:val="0"/>
        <w:spacing w:before="60" w:after="0" w:line="240" w:lineRule="auto"/>
        <w:ind w:left="4435" w:right="1075" w:hanging="2669"/>
        <w:jc w:val="center"/>
        <w:rPr>
          <w:rFonts w:eastAsia="Calibri" w:cstheme="minorHAnsi"/>
          <w:b/>
          <w:bCs/>
        </w:rPr>
      </w:pPr>
      <w:r w:rsidRPr="000F5C72">
        <w:rPr>
          <w:rFonts w:eastAsia="Calibri" w:cstheme="minorHAnsi"/>
          <w:b/>
          <w:bCs/>
        </w:rPr>
        <w:t>UCAR Guideline: Euthanasia for Roden</w:t>
      </w:r>
      <w:r w:rsidR="003F5D06" w:rsidRPr="000F5C72">
        <w:rPr>
          <w:rFonts w:eastAsia="Calibri" w:cstheme="minorHAnsi"/>
          <w:b/>
          <w:bCs/>
        </w:rPr>
        <w:t>t Embryos, Fetuses and Neonates</w:t>
      </w:r>
    </w:p>
    <w:p w14:paraId="4C7681A7" w14:textId="77777777" w:rsidR="00074050" w:rsidRPr="00447074" w:rsidRDefault="00074050" w:rsidP="00074050">
      <w:pPr>
        <w:autoSpaceDE w:val="0"/>
        <w:autoSpaceDN w:val="0"/>
        <w:spacing w:after="0" w:line="240" w:lineRule="auto"/>
        <w:rPr>
          <w:rFonts w:eastAsia="Calibri" w:cstheme="minorHAnsi"/>
        </w:rPr>
      </w:pPr>
    </w:p>
    <w:p w14:paraId="7958B2CA" w14:textId="77777777" w:rsidR="00074050" w:rsidRPr="00447074" w:rsidRDefault="00074050" w:rsidP="00074050">
      <w:pPr>
        <w:numPr>
          <w:ilvl w:val="0"/>
          <w:numId w:val="1"/>
        </w:numPr>
        <w:autoSpaceDE w:val="0"/>
        <w:autoSpaceDN w:val="0"/>
        <w:spacing w:after="0" w:line="240" w:lineRule="auto"/>
        <w:ind w:right="274"/>
        <w:rPr>
          <w:rFonts w:eastAsia="Calibri" w:cstheme="minorHAnsi"/>
        </w:rPr>
      </w:pPr>
      <w:r w:rsidRPr="00447074">
        <w:rPr>
          <w:rFonts w:eastAsia="Calibri" w:cstheme="minorHAnsi"/>
          <w:u w:val="single"/>
        </w:rPr>
        <w:t>Embryos and fetuses from mice, rats, gerbils and hamsters (greater than E 15) or guinea pigs (greater than E</w:t>
      </w:r>
      <w:r w:rsidRPr="00447074">
        <w:rPr>
          <w:rFonts w:eastAsia="Calibri" w:cstheme="minorHAnsi"/>
          <w:spacing w:val="-2"/>
          <w:u w:val="single"/>
        </w:rPr>
        <w:t xml:space="preserve"> </w:t>
      </w:r>
      <w:r w:rsidRPr="00447074">
        <w:rPr>
          <w:rFonts w:eastAsia="Calibri" w:cstheme="minorHAnsi"/>
          <w:u w:val="single"/>
        </w:rPr>
        <w:t>35)</w:t>
      </w:r>
    </w:p>
    <w:p w14:paraId="5ACFE864" w14:textId="77777777" w:rsidR="00074050" w:rsidRPr="00447074" w:rsidRDefault="00074050" w:rsidP="00074050">
      <w:pPr>
        <w:autoSpaceDE w:val="0"/>
        <w:autoSpaceDN w:val="0"/>
        <w:spacing w:before="2" w:after="0" w:line="240" w:lineRule="auto"/>
        <w:rPr>
          <w:rFonts w:eastAsia="Calibri" w:cstheme="minorHAnsi"/>
        </w:rPr>
      </w:pPr>
    </w:p>
    <w:p w14:paraId="75132BA7" w14:textId="77777777" w:rsidR="00074050" w:rsidRPr="00447074" w:rsidRDefault="00074050" w:rsidP="00074050">
      <w:pPr>
        <w:numPr>
          <w:ilvl w:val="1"/>
          <w:numId w:val="1"/>
        </w:numPr>
        <w:autoSpaceDE w:val="0"/>
        <w:autoSpaceDN w:val="0"/>
        <w:spacing w:before="90" w:after="0" w:line="240" w:lineRule="auto"/>
        <w:ind w:right="374"/>
        <w:rPr>
          <w:rFonts w:eastAsia="Calibri" w:cstheme="minorHAnsi"/>
        </w:rPr>
      </w:pPr>
      <w:r w:rsidRPr="00447074">
        <w:rPr>
          <w:rFonts w:eastAsia="Calibri" w:cstheme="minorHAnsi"/>
        </w:rPr>
        <w:t>If you have a pregnant dam in which you do not need to harvest the embryos/fetuses then the dam may be euthanized using an AVMA approved method. According to the 2013 AVMA Guidelines for the Euthanasia of Animals S2.2.4.1,</w:t>
      </w:r>
      <w:r w:rsidR="00447074">
        <w:rPr>
          <w:rFonts w:eastAsia="Calibri" w:cstheme="minorHAnsi"/>
        </w:rPr>
        <w:t xml:space="preserve"> </w:t>
      </w:r>
      <w:r w:rsidRPr="00447074">
        <w:rPr>
          <w:rFonts w:eastAsia="Calibri" w:cstheme="minorHAnsi"/>
        </w:rPr>
        <w:t>“Rodent fetuses along with other mammals are unconscious in</w:t>
      </w:r>
      <w:r w:rsidRPr="00447074">
        <w:rPr>
          <w:rFonts w:eastAsia="Calibri" w:cstheme="minorHAnsi"/>
          <w:spacing w:val="-18"/>
        </w:rPr>
        <w:t xml:space="preserve"> </w:t>
      </w:r>
      <w:r w:rsidRPr="00447074">
        <w:rPr>
          <w:rFonts w:eastAsia="Calibri" w:cstheme="minorHAnsi"/>
        </w:rPr>
        <w:t>utero and hypoxia does not evoke a response. Therefore, it is unnecessary to remove fetuses for euthanasia after the dam is</w:t>
      </w:r>
      <w:r w:rsidRPr="00447074">
        <w:rPr>
          <w:rFonts w:eastAsia="Calibri" w:cstheme="minorHAnsi"/>
          <w:spacing w:val="-9"/>
        </w:rPr>
        <w:t xml:space="preserve"> </w:t>
      </w:r>
      <w:r w:rsidRPr="00447074">
        <w:rPr>
          <w:rFonts w:eastAsia="Calibri" w:cstheme="minorHAnsi"/>
        </w:rPr>
        <w:t>euthanized”.</w:t>
      </w:r>
    </w:p>
    <w:p w14:paraId="7B7E9203" w14:textId="77777777" w:rsidR="00074050" w:rsidRPr="00447074" w:rsidRDefault="00074050" w:rsidP="00074050">
      <w:pPr>
        <w:autoSpaceDE w:val="0"/>
        <w:autoSpaceDN w:val="0"/>
        <w:spacing w:after="0" w:line="240" w:lineRule="auto"/>
        <w:rPr>
          <w:rFonts w:eastAsia="Calibri" w:cstheme="minorHAnsi"/>
        </w:rPr>
      </w:pPr>
    </w:p>
    <w:p w14:paraId="41B4701B" w14:textId="77777777" w:rsidR="00074050" w:rsidRPr="00447074" w:rsidRDefault="00074050" w:rsidP="002D7610">
      <w:pPr>
        <w:autoSpaceDE w:val="0"/>
        <w:autoSpaceDN w:val="0"/>
        <w:spacing w:after="0" w:line="240" w:lineRule="auto"/>
        <w:ind w:left="919" w:right="104"/>
        <w:jc w:val="both"/>
        <w:rPr>
          <w:rFonts w:eastAsia="Calibri" w:cstheme="minorHAnsi"/>
          <w:i/>
          <w:iCs/>
          <w:strike/>
        </w:rPr>
      </w:pPr>
      <w:r w:rsidRPr="00447074">
        <w:rPr>
          <w:rFonts w:eastAsia="Calibri" w:cstheme="minorHAnsi"/>
          <w:b/>
          <w:i/>
        </w:rPr>
        <w:t>Viable</w:t>
      </w:r>
      <w:r w:rsidRPr="00447074">
        <w:rPr>
          <w:rFonts w:eastAsia="Calibri" w:cstheme="minorHAnsi"/>
        </w:rPr>
        <w:t xml:space="preserve"> embryos/fetuses (i.e. those which have been removed or harvested from a live dam for experiments) and allowed to breath</w:t>
      </w:r>
      <w:r w:rsidR="00410AF2" w:rsidRPr="00447074">
        <w:rPr>
          <w:rFonts w:eastAsia="Calibri" w:cstheme="minorHAnsi"/>
        </w:rPr>
        <w:t>e</w:t>
      </w:r>
      <w:r w:rsidRPr="00447074">
        <w:rPr>
          <w:rFonts w:eastAsia="Calibri" w:cstheme="minorHAnsi"/>
        </w:rPr>
        <w:t xml:space="preserve"> must be euthanized by cervical dislocation or decapitation. </w:t>
      </w:r>
      <w:r w:rsidRPr="00447074">
        <w:rPr>
          <w:rFonts w:eastAsia="Calibri" w:cstheme="minorHAnsi"/>
          <w:spacing w:val="-6"/>
        </w:rPr>
        <w:t xml:space="preserve">If </w:t>
      </w:r>
      <w:r w:rsidRPr="00447074">
        <w:rPr>
          <w:rFonts w:eastAsia="Calibri" w:cstheme="minorHAnsi"/>
        </w:rPr>
        <w:t xml:space="preserve">you need the intact fetus </w:t>
      </w:r>
      <w:r w:rsidR="00A77280" w:rsidRPr="00447074">
        <w:rPr>
          <w:rFonts w:eastAsia="Calibri" w:cstheme="minorHAnsi"/>
        </w:rPr>
        <w:t xml:space="preserve">preserved in fixative, it must be rendered unconscious by deep </w:t>
      </w:r>
      <w:r w:rsidR="00447074" w:rsidRPr="00447074">
        <w:rPr>
          <w:rFonts w:eastAsia="Calibri" w:cstheme="minorHAnsi"/>
        </w:rPr>
        <w:t>anesthesia or</w:t>
      </w:r>
      <w:r w:rsidR="00A77280" w:rsidRPr="00447074">
        <w:rPr>
          <w:rFonts w:eastAsia="Calibri" w:cstheme="minorHAnsi"/>
        </w:rPr>
        <w:t xml:space="preserve"> euthanasia first. </w:t>
      </w:r>
    </w:p>
    <w:p w14:paraId="423D8EC1" w14:textId="77777777" w:rsidR="00074050" w:rsidRPr="00447074" w:rsidRDefault="00074050" w:rsidP="002D7610">
      <w:pPr>
        <w:autoSpaceDE w:val="0"/>
        <w:autoSpaceDN w:val="0"/>
        <w:spacing w:before="11" w:after="0" w:line="240" w:lineRule="auto"/>
        <w:rPr>
          <w:rFonts w:eastAsia="Calibri" w:cstheme="minorHAnsi"/>
          <w:i/>
          <w:iCs/>
        </w:rPr>
      </w:pPr>
    </w:p>
    <w:p w14:paraId="4E9A5EE0" w14:textId="655C822D" w:rsidR="00074050" w:rsidRPr="00447074" w:rsidRDefault="00074050" w:rsidP="002D7610">
      <w:pPr>
        <w:autoSpaceDE w:val="0"/>
        <w:autoSpaceDN w:val="0"/>
        <w:spacing w:after="0" w:line="240" w:lineRule="auto"/>
        <w:ind w:left="821" w:right="101"/>
        <w:jc w:val="both"/>
        <w:rPr>
          <w:rFonts w:eastAsia="Calibri" w:cstheme="minorHAnsi"/>
        </w:rPr>
      </w:pPr>
      <w:r w:rsidRPr="00447074">
        <w:rPr>
          <w:rFonts w:eastAsia="Calibri" w:cstheme="minorHAnsi"/>
          <w:i/>
          <w:iCs/>
        </w:rPr>
        <w:t xml:space="preserve">Hypothermia anesthesia – </w:t>
      </w:r>
      <w:r w:rsidRPr="00447074">
        <w:rPr>
          <w:rFonts w:eastAsia="Calibri" w:cstheme="minorHAnsi"/>
        </w:rPr>
        <w:t>Neonates up to seven (7) days of age may also be anesthetized by hypothermia (see below).  Care must be taken to protect the animal’s skin from freezing by imposing a barrier between the animal and the source of cold. A good method is to place the neonate in a glove finger and place it into ice water until the animal is unresponsive. Animals may also be placed on ice with paper towels or other barriers between the animal and the ice. A second physical method must be used to ensure death.  These include those listed below.</w:t>
      </w:r>
    </w:p>
    <w:p w14:paraId="13368C46" w14:textId="3BDF5045" w:rsidR="00074050" w:rsidRPr="00447074" w:rsidRDefault="00074050" w:rsidP="002D7610">
      <w:pPr>
        <w:autoSpaceDE w:val="0"/>
        <w:autoSpaceDN w:val="0"/>
        <w:spacing w:before="92" w:after="0" w:line="230" w:lineRule="auto"/>
        <w:ind w:left="821" w:right="101"/>
        <w:jc w:val="both"/>
        <w:rPr>
          <w:rFonts w:eastAsia="Calibri" w:cstheme="minorHAnsi"/>
        </w:rPr>
      </w:pPr>
      <w:r w:rsidRPr="00447074">
        <w:rPr>
          <w:rFonts w:eastAsia="Calibri" w:cstheme="minorHAnsi"/>
          <w:i/>
          <w:iCs/>
          <w:position w:val="2"/>
        </w:rPr>
        <w:t>CO</w:t>
      </w:r>
      <w:r w:rsidRPr="00447074">
        <w:rPr>
          <w:rFonts w:eastAsia="Calibri" w:cstheme="minorHAnsi"/>
          <w:i/>
          <w:iCs/>
        </w:rPr>
        <w:t xml:space="preserve">2 </w:t>
      </w:r>
      <w:r w:rsidRPr="00447074">
        <w:rPr>
          <w:rFonts w:eastAsia="Calibri" w:cstheme="minorHAnsi"/>
          <w:i/>
          <w:iCs/>
          <w:position w:val="2"/>
        </w:rPr>
        <w:t xml:space="preserve">euthanasia </w:t>
      </w:r>
      <w:r w:rsidRPr="00447074">
        <w:rPr>
          <w:rFonts w:eastAsia="Calibri" w:cstheme="minorHAnsi"/>
          <w:position w:val="2"/>
        </w:rPr>
        <w:t>- Embryos/fetuses may also be exposed to CO</w:t>
      </w:r>
      <w:r w:rsidRPr="00447074">
        <w:rPr>
          <w:rFonts w:eastAsia="Calibri" w:cstheme="minorHAnsi"/>
        </w:rPr>
        <w:t xml:space="preserve">2 </w:t>
      </w:r>
      <w:r w:rsidRPr="00447074">
        <w:rPr>
          <w:rFonts w:eastAsia="Calibri" w:cstheme="minorHAnsi"/>
          <w:position w:val="2"/>
        </w:rPr>
        <w:t>for euthanasia, but are relatively resistant to the effects of CO</w:t>
      </w:r>
      <w:r w:rsidRPr="00447074">
        <w:rPr>
          <w:rFonts w:eastAsia="Calibri" w:cstheme="minorHAnsi"/>
        </w:rPr>
        <w:t>2</w:t>
      </w:r>
      <w:r w:rsidRPr="00447074">
        <w:rPr>
          <w:rFonts w:eastAsia="Calibri" w:cstheme="minorHAnsi"/>
          <w:position w:val="2"/>
        </w:rPr>
        <w:t xml:space="preserve">, so the time must be increased (at least ten minutes). A second </w:t>
      </w:r>
      <w:r w:rsidRPr="00447074">
        <w:rPr>
          <w:rFonts w:eastAsia="Calibri" w:cstheme="minorHAnsi"/>
        </w:rPr>
        <w:t>physical method to insure death must be employed.</w:t>
      </w:r>
    </w:p>
    <w:p w14:paraId="2EB00530" w14:textId="77777777" w:rsidR="00074050" w:rsidRPr="00447074" w:rsidRDefault="00074050" w:rsidP="00074050">
      <w:pPr>
        <w:autoSpaceDE w:val="0"/>
        <w:autoSpaceDN w:val="0"/>
        <w:spacing w:after="0" w:line="240" w:lineRule="auto"/>
        <w:rPr>
          <w:rFonts w:eastAsia="Calibri" w:cstheme="minorHAnsi"/>
        </w:rPr>
      </w:pPr>
    </w:p>
    <w:p w14:paraId="31C3DF46" w14:textId="77777777" w:rsidR="00074050" w:rsidRPr="00447074" w:rsidRDefault="00074050" w:rsidP="00074050">
      <w:pPr>
        <w:numPr>
          <w:ilvl w:val="0"/>
          <w:numId w:val="1"/>
        </w:numPr>
        <w:autoSpaceDE w:val="0"/>
        <w:autoSpaceDN w:val="0"/>
        <w:spacing w:after="0" w:line="240" w:lineRule="auto"/>
        <w:ind w:left="446" w:hanging="338"/>
        <w:rPr>
          <w:rFonts w:eastAsia="Calibri" w:cstheme="minorHAnsi"/>
        </w:rPr>
      </w:pPr>
      <w:bookmarkStart w:id="0" w:name="B.__Neonates_up_to_seven_(7)_days_of_age"/>
      <w:bookmarkEnd w:id="0"/>
      <w:r w:rsidRPr="00447074">
        <w:rPr>
          <w:rFonts w:eastAsia="Calibri" w:cstheme="minorHAnsi"/>
          <w:u w:val="single"/>
        </w:rPr>
        <w:t>Neonates up to seven (7) days of</w:t>
      </w:r>
      <w:r w:rsidRPr="00447074">
        <w:rPr>
          <w:rFonts w:eastAsia="Calibri" w:cstheme="minorHAnsi"/>
          <w:spacing w:val="-8"/>
          <w:u w:val="single"/>
        </w:rPr>
        <w:t xml:space="preserve"> </w:t>
      </w:r>
      <w:r w:rsidRPr="00447074">
        <w:rPr>
          <w:rFonts w:eastAsia="Calibri" w:cstheme="minorHAnsi"/>
          <w:u w:val="single"/>
        </w:rPr>
        <w:t>age</w:t>
      </w:r>
    </w:p>
    <w:p w14:paraId="42595C4B" w14:textId="77777777" w:rsidR="00074050" w:rsidRPr="00447074" w:rsidRDefault="00074050" w:rsidP="00074050">
      <w:pPr>
        <w:autoSpaceDE w:val="0"/>
        <w:autoSpaceDN w:val="0"/>
        <w:spacing w:before="1" w:after="0" w:line="240" w:lineRule="auto"/>
        <w:rPr>
          <w:rFonts w:eastAsia="Calibri" w:cstheme="minorHAnsi"/>
        </w:rPr>
      </w:pPr>
    </w:p>
    <w:p w14:paraId="7936773E" w14:textId="77777777" w:rsidR="00074050" w:rsidRPr="00447074" w:rsidRDefault="00074050" w:rsidP="00074050">
      <w:pPr>
        <w:numPr>
          <w:ilvl w:val="1"/>
          <w:numId w:val="1"/>
        </w:numPr>
        <w:autoSpaceDE w:val="0"/>
        <w:autoSpaceDN w:val="0"/>
        <w:spacing w:before="90" w:after="0" w:line="240" w:lineRule="auto"/>
        <w:ind w:left="919" w:right="107" w:hanging="271"/>
        <w:rPr>
          <w:rFonts w:eastAsia="Calibri" w:cstheme="minorHAnsi"/>
        </w:rPr>
      </w:pPr>
      <w:r w:rsidRPr="00447074">
        <w:rPr>
          <w:rFonts w:eastAsia="Calibri" w:cstheme="minorHAnsi"/>
        </w:rPr>
        <w:t>Neonates may be euthanized using AVMA approved methods for adults with the following exception:</w:t>
      </w:r>
    </w:p>
    <w:p w14:paraId="39898919" w14:textId="77777777" w:rsidR="00074050" w:rsidRPr="00447074" w:rsidRDefault="00074050" w:rsidP="00074050">
      <w:pPr>
        <w:autoSpaceDE w:val="0"/>
        <w:autoSpaceDN w:val="0"/>
        <w:spacing w:after="0" w:line="240" w:lineRule="auto"/>
        <w:ind w:left="919" w:right="106" w:hanging="92"/>
        <w:jc w:val="both"/>
        <w:rPr>
          <w:rFonts w:eastAsia="Calibri" w:cstheme="minorHAnsi"/>
        </w:rPr>
      </w:pPr>
      <w:r w:rsidRPr="00447074">
        <w:rPr>
          <w:rFonts w:eastAsia="Calibri" w:cstheme="minorHAnsi"/>
        </w:rPr>
        <w:t>CO2 may be used for euthanasia, but the time of exposure must be increased (at least ten minutes). As with adults, a second, physical method must be used to insure death. Approved methods include:</w:t>
      </w:r>
    </w:p>
    <w:p w14:paraId="6C5D5C6C" w14:textId="77777777" w:rsidR="00074050" w:rsidRPr="00447074" w:rsidRDefault="00074050" w:rsidP="00074050">
      <w:pPr>
        <w:numPr>
          <w:ilvl w:val="2"/>
          <w:numId w:val="1"/>
        </w:numPr>
        <w:autoSpaceDE w:val="0"/>
        <w:autoSpaceDN w:val="0"/>
        <w:spacing w:before="2" w:after="0" w:line="293" w:lineRule="exact"/>
        <w:rPr>
          <w:rFonts w:eastAsia="Calibri" w:cstheme="minorHAnsi"/>
        </w:rPr>
      </w:pPr>
      <w:r w:rsidRPr="00447074">
        <w:rPr>
          <w:rFonts w:eastAsia="Calibri" w:cstheme="minorHAnsi"/>
        </w:rPr>
        <w:t>Cervical</w:t>
      </w:r>
      <w:r w:rsidRPr="00447074">
        <w:rPr>
          <w:rFonts w:eastAsia="Calibri" w:cstheme="minorHAnsi"/>
          <w:spacing w:val="-6"/>
        </w:rPr>
        <w:t xml:space="preserve"> </w:t>
      </w:r>
      <w:r w:rsidRPr="00447074">
        <w:rPr>
          <w:rFonts w:eastAsia="Calibri" w:cstheme="minorHAnsi"/>
        </w:rPr>
        <w:t>dislocation</w:t>
      </w:r>
    </w:p>
    <w:p w14:paraId="54AF7AFE" w14:textId="77777777" w:rsidR="00074050" w:rsidRPr="00447074" w:rsidRDefault="00074050" w:rsidP="00074050">
      <w:pPr>
        <w:numPr>
          <w:ilvl w:val="2"/>
          <w:numId w:val="1"/>
        </w:numPr>
        <w:autoSpaceDE w:val="0"/>
        <w:autoSpaceDN w:val="0"/>
        <w:spacing w:after="0" w:line="293" w:lineRule="exact"/>
        <w:rPr>
          <w:rFonts w:eastAsia="Calibri" w:cstheme="minorHAnsi"/>
        </w:rPr>
      </w:pPr>
      <w:r w:rsidRPr="00447074">
        <w:rPr>
          <w:rFonts w:eastAsia="Calibri" w:cstheme="minorHAnsi"/>
        </w:rPr>
        <w:t>Decapitation</w:t>
      </w:r>
    </w:p>
    <w:p w14:paraId="6B0E4181" w14:textId="77777777" w:rsidR="00074050" w:rsidRPr="00447074" w:rsidRDefault="00074050" w:rsidP="00074050">
      <w:pPr>
        <w:numPr>
          <w:ilvl w:val="2"/>
          <w:numId w:val="1"/>
        </w:numPr>
        <w:autoSpaceDE w:val="0"/>
        <w:autoSpaceDN w:val="0"/>
        <w:spacing w:after="0" w:line="293" w:lineRule="exact"/>
        <w:rPr>
          <w:rFonts w:eastAsia="Calibri" w:cstheme="minorHAnsi"/>
        </w:rPr>
      </w:pPr>
      <w:r w:rsidRPr="00447074">
        <w:rPr>
          <w:rFonts w:eastAsia="Calibri" w:cstheme="minorHAnsi"/>
        </w:rPr>
        <w:t>Removal of major organ/opening a major</w:t>
      </w:r>
      <w:r w:rsidRPr="00447074">
        <w:rPr>
          <w:rFonts w:eastAsia="Calibri" w:cstheme="minorHAnsi"/>
          <w:spacing w:val="-12"/>
        </w:rPr>
        <w:t xml:space="preserve"> </w:t>
      </w:r>
      <w:r w:rsidRPr="00447074">
        <w:rPr>
          <w:rFonts w:eastAsia="Calibri" w:cstheme="minorHAnsi"/>
        </w:rPr>
        <w:t>vessel</w:t>
      </w:r>
    </w:p>
    <w:p w14:paraId="1CF3ECE6" w14:textId="77777777" w:rsidR="00074050" w:rsidRPr="00447074" w:rsidRDefault="00074050" w:rsidP="00074050">
      <w:pPr>
        <w:numPr>
          <w:ilvl w:val="2"/>
          <w:numId w:val="1"/>
        </w:numPr>
        <w:autoSpaceDE w:val="0"/>
        <w:autoSpaceDN w:val="0"/>
        <w:spacing w:after="0" w:line="292" w:lineRule="exact"/>
        <w:rPr>
          <w:rFonts w:eastAsia="Calibri" w:cstheme="minorHAnsi"/>
        </w:rPr>
      </w:pPr>
      <w:r w:rsidRPr="00447074">
        <w:rPr>
          <w:rFonts w:eastAsia="Calibri" w:cstheme="minorHAnsi"/>
        </w:rPr>
        <w:t>Opening the</w:t>
      </w:r>
      <w:r w:rsidRPr="00447074">
        <w:rPr>
          <w:rFonts w:eastAsia="Calibri" w:cstheme="minorHAnsi"/>
          <w:spacing w:val="-5"/>
        </w:rPr>
        <w:t xml:space="preserve"> </w:t>
      </w:r>
      <w:r w:rsidRPr="00447074">
        <w:rPr>
          <w:rFonts w:eastAsia="Calibri" w:cstheme="minorHAnsi"/>
        </w:rPr>
        <w:t>chest</w:t>
      </w:r>
    </w:p>
    <w:p w14:paraId="54D3F0EC" w14:textId="77777777" w:rsidR="00074050" w:rsidRPr="00447074" w:rsidRDefault="00074050" w:rsidP="00074050">
      <w:pPr>
        <w:numPr>
          <w:ilvl w:val="0"/>
          <w:numId w:val="2"/>
        </w:numPr>
        <w:autoSpaceDE w:val="0"/>
        <w:autoSpaceDN w:val="0"/>
        <w:spacing w:after="0" w:line="240" w:lineRule="auto"/>
        <w:ind w:right="281" w:hanging="360"/>
        <w:rPr>
          <w:rFonts w:eastAsia="Calibri" w:cstheme="minorHAnsi"/>
          <w:i/>
          <w:iCs/>
        </w:rPr>
      </w:pPr>
      <w:r w:rsidRPr="00447074">
        <w:rPr>
          <w:rFonts w:eastAsia="Calibri" w:cstheme="minorHAnsi"/>
        </w:rPr>
        <w:t xml:space="preserve">Hypothermia anesthesia followed by freezing or one of the above </w:t>
      </w:r>
      <w:r w:rsidR="00447074" w:rsidRPr="00447074">
        <w:rPr>
          <w:rFonts w:eastAsia="Calibri" w:cstheme="minorHAnsi"/>
        </w:rPr>
        <w:t xml:space="preserve">methods. </w:t>
      </w:r>
      <w:r w:rsidR="00CE2548" w:rsidRPr="00447074">
        <w:rPr>
          <w:rFonts w:eastAsia="Calibri" w:cstheme="minorHAnsi"/>
          <w:i/>
          <w:iCs/>
        </w:rPr>
        <w:t xml:space="preserve">According to the 2013 AVMA Euthanasia Guidelines, </w:t>
      </w:r>
      <w:r w:rsidR="00315A6C" w:rsidRPr="00447074">
        <w:rPr>
          <w:rFonts w:eastAsia="Calibri" w:cstheme="minorHAnsi"/>
          <w:i/>
          <w:iCs/>
        </w:rPr>
        <w:t>“fetuses that are believed to be unconscious and altricial neonates &lt; 5 days of age that do not have sufficient nervous system development to perceive pain may be quickly killed by rapidly freezing in liquid N2. Also</w:t>
      </w:r>
      <w:r w:rsidR="002D7610" w:rsidRPr="00447074">
        <w:rPr>
          <w:rFonts w:eastAsia="Calibri" w:cstheme="minorHAnsi"/>
          <w:i/>
          <w:iCs/>
        </w:rPr>
        <w:t>, “</w:t>
      </w:r>
      <w:r w:rsidR="00315A6C" w:rsidRPr="00447074">
        <w:rPr>
          <w:rFonts w:eastAsia="Calibri" w:cstheme="minorHAnsi"/>
          <w:i/>
          <w:iCs/>
        </w:rPr>
        <w:t>h</w:t>
      </w:r>
      <w:r w:rsidRPr="00447074">
        <w:rPr>
          <w:rFonts w:eastAsia="Calibri" w:cstheme="minorHAnsi"/>
          <w:i/>
          <w:iCs/>
        </w:rPr>
        <w:t xml:space="preserve">ypothermia for anesthesia is not recommended after approximately seven days of age.” </w:t>
      </w:r>
    </w:p>
    <w:p w14:paraId="61CE5E81" w14:textId="77777777" w:rsidR="00074050" w:rsidRPr="00447074" w:rsidRDefault="00074050" w:rsidP="00074050">
      <w:pPr>
        <w:autoSpaceDE w:val="0"/>
        <w:autoSpaceDN w:val="0"/>
        <w:spacing w:before="1" w:after="0" w:line="240" w:lineRule="auto"/>
        <w:rPr>
          <w:rFonts w:eastAsia="Calibri" w:cstheme="minorHAnsi"/>
          <w:i/>
          <w:iCs/>
        </w:rPr>
      </w:pPr>
    </w:p>
    <w:p w14:paraId="450C73B9" w14:textId="77777777" w:rsidR="00074050" w:rsidRPr="00447074" w:rsidRDefault="00074050" w:rsidP="00074050">
      <w:pPr>
        <w:numPr>
          <w:ilvl w:val="1"/>
          <w:numId w:val="1"/>
        </w:numPr>
        <w:autoSpaceDE w:val="0"/>
        <w:autoSpaceDN w:val="0"/>
        <w:spacing w:after="0" w:line="240" w:lineRule="auto"/>
        <w:ind w:right="105"/>
        <w:jc w:val="both"/>
        <w:rPr>
          <w:rFonts w:eastAsia="Calibri" w:cstheme="minorHAnsi"/>
        </w:rPr>
      </w:pPr>
      <w:r w:rsidRPr="00447074">
        <w:rPr>
          <w:rFonts w:eastAsia="Calibri" w:cstheme="minorHAnsi"/>
        </w:rPr>
        <w:t>Neonates older than seven (7) days must be euthanized using the same procedures approved for adults.</w:t>
      </w:r>
    </w:p>
    <w:p w14:paraId="09C05986" w14:textId="77777777" w:rsidR="00074050" w:rsidRPr="00447074" w:rsidRDefault="00074050" w:rsidP="00074050">
      <w:pPr>
        <w:autoSpaceDE w:val="0"/>
        <w:autoSpaceDN w:val="0"/>
        <w:spacing w:before="1" w:after="0" w:line="240" w:lineRule="auto"/>
        <w:rPr>
          <w:rFonts w:eastAsia="Calibri" w:cstheme="minorHAnsi"/>
        </w:rPr>
      </w:pPr>
    </w:p>
    <w:p w14:paraId="333730F0" w14:textId="77777777" w:rsidR="00447074" w:rsidRDefault="00074050" w:rsidP="00074050">
      <w:pPr>
        <w:spacing w:after="0" w:line="240" w:lineRule="auto"/>
        <w:ind w:left="107" w:right="4147"/>
        <w:rPr>
          <w:rFonts w:eastAsia="Calibri" w:cstheme="minorHAnsi"/>
        </w:rPr>
      </w:pPr>
      <w:r w:rsidRPr="00447074">
        <w:rPr>
          <w:rFonts w:eastAsia="Calibri" w:cstheme="minorHAnsi"/>
        </w:rPr>
        <w:t xml:space="preserve">References: </w:t>
      </w:r>
    </w:p>
    <w:p w14:paraId="675D370F" w14:textId="5CF1772A" w:rsidR="00074050" w:rsidRPr="00447074" w:rsidRDefault="00074050" w:rsidP="00447074">
      <w:pPr>
        <w:pStyle w:val="ListParagraph"/>
        <w:numPr>
          <w:ilvl w:val="0"/>
          <w:numId w:val="3"/>
        </w:numPr>
        <w:spacing w:after="0" w:line="240" w:lineRule="auto"/>
        <w:ind w:right="4147"/>
        <w:rPr>
          <w:rFonts w:eastAsia="Calibri" w:cstheme="minorHAnsi"/>
          <w:u w:val="single"/>
        </w:rPr>
      </w:pPr>
      <w:r w:rsidRPr="00447074">
        <w:rPr>
          <w:rFonts w:eastAsia="Calibri" w:cstheme="minorHAnsi"/>
        </w:rPr>
        <w:t xml:space="preserve">AVMA Guidelines for </w:t>
      </w:r>
      <w:r w:rsidR="00447074" w:rsidRPr="00447074">
        <w:rPr>
          <w:rFonts w:eastAsia="Calibri" w:cstheme="minorHAnsi"/>
        </w:rPr>
        <w:t xml:space="preserve">the Euthanasia of Animals: 2013 Edition. </w:t>
      </w:r>
      <w:r w:rsidRPr="00716A76">
        <w:rPr>
          <w:rFonts w:eastAsia="Calibri" w:cstheme="minorHAnsi"/>
          <w:u w:val="single"/>
        </w:rPr>
        <w:t>https://</w:t>
      </w:r>
      <w:hyperlink r:id="rId5" w:history="1">
        <w:r w:rsidRPr="00447074">
          <w:rPr>
            <w:rFonts w:eastAsia="Calibri" w:cstheme="minorHAnsi"/>
            <w:u w:val="single"/>
          </w:rPr>
          <w:t>www.avma.org/KB/Policies/Documents/euthanasia.pdf</w:t>
        </w:r>
      </w:hyperlink>
      <w:r w:rsidR="00716A76">
        <w:t xml:space="preserve">  </w:t>
      </w:r>
    </w:p>
    <w:p w14:paraId="7E162C69" w14:textId="77777777" w:rsidR="00447074" w:rsidRDefault="00447074" w:rsidP="00447074">
      <w:pPr>
        <w:pStyle w:val="ListParagraph"/>
        <w:numPr>
          <w:ilvl w:val="0"/>
          <w:numId w:val="3"/>
        </w:numPr>
      </w:pPr>
      <w:hyperlink r:id="rId6" w:history="1">
        <w:r>
          <w:rPr>
            <w:rStyle w:val="Hyperlink"/>
          </w:rPr>
          <w:t>https://www.aaalac.org/accreditation/RefResources/ReportofACLAMTaskForceonRodentEuthanasia.pdf</w:t>
        </w:r>
      </w:hyperlink>
    </w:p>
    <w:p w14:paraId="33B2C2EA" w14:textId="77777777" w:rsidR="00447074" w:rsidRPr="00447074" w:rsidRDefault="00447074" w:rsidP="00074050">
      <w:pPr>
        <w:spacing w:after="0" w:line="240" w:lineRule="auto"/>
        <w:ind w:left="107" w:right="4147"/>
        <w:rPr>
          <w:rFonts w:eastAsia="Calibri" w:cstheme="minorHAnsi"/>
        </w:rPr>
      </w:pPr>
    </w:p>
    <w:p w14:paraId="6BEC4DC4" w14:textId="77777777" w:rsidR="00074050" w:rsidRPr="00447074" w:rsidRDefault="00074050" w:rsidP="00074050">
      <w:pPr>
        <w:autoSpaceDE w:val="0"/>
        <w:autoSpaceDN w:val="0"/>
        <w:spacing w:after="0" w:line="275" w:lineRule="exact"/>
        <w:ind w:left="107"/>
        <w:rPr>
          <w:rFonts w:eastAsia="Calibri" w:cstheme="minorHAnsi"/>
        </w:rPr>
      </w:pPr>
      <w:r w:rsidRPr="00447074">
        <w:rPr>
          <w:rFonts w:eastAsia="Calibri" w:cstheme="minorHAnsi"/>
        </w:rPr>
        <w:t xml:space="preserve">REV. </w:t>
      </w:r>
      <w:r w:rsidR="003F5D06">
        <w:rPr>
          <w:rFonts w:eastAsia="Calibri" w:cstheme="minorHAnsi"/>
        </w:rPr>
        <w:t>9-21-22</w:t>
      </w:r>
    </w:p>
    <w:p w14:paraId="63705256" w14:textId="77777777" w:rsidR="00074050" w:rsidRPr="00447074" w:rsidRDefault="00074050" w:rsidP="00074050">
      <w:pPr>
        <w:spacing w:after="0" w:line="240" w:lineRule="auto"/>
        <w:rPr>
          <w:rFonts w:eastAsia="Calibri" w:cstheme="minorHAnsi"/>
        </w:rPr>
      </w:pPr>
    </w:p>
    <w:p w14:paraId="67138A14" w14:textId="77777777" w:rsidR="00CE2548" w:rsidRPr="00447074" w:rsidRDefault="00CE2548">
      <w:pPr>
        <w:rPr>
          <w:rFonts w:cstheme="minorHAnsi"/>
        </w:rPr>
      </w:pPr>
    </w:p>
    <w:p w14:paraId="73A4FD20" w14:textId="77777777" w:rsidR="00CE2548" w:rsidRPr="00447074" w:rsidRDefault="00CE2548">
      <w:pPr>
        <w:rPr>
          <w:rFonts w:cstheme="minorHAnsi"/>
        </w:rPr>
      </w:pPr>
    </w:p>
    <w:sectPr w:rsidR="00CE2548" w:rsidRPr="00447074" w:rsidSect="000740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5ACD"/>
    <w:multiLevelType w:val="hybridMultilevel"/>
    <w:tmpl w:val="4B34718E"/>
    <w:lvl w:ilvl="0" w:tplc="16A65232">
      <w:start w:val="1"/>
      <w:numFmt w:val="upperLetter"/>
      <w:lvlText w:val="%1."/>
      <w:lvlJc w:val="left"/>
      <w:pPr>
        <w:ind w:left="108" w:hanging="353"/>
      </w:pPr>
      <w:rPr>
        <w:spacing w:val="-5"/>
        <w:w w:val="99"/>
        <w:u w:val="single" w:color="000000"/>
      </w:rPr>
    </w:lvl>
    <w:lvl w:ilvl="1" w:tplc="C436FCCC">
      <w:start w:val="1"/>
      <w:numFmt w:val="decimal"/>
      <w:lvlText w:val="%2."/>
      <w:lvlJc w:val="left"/>
      <w:pPr>
        <w:ind w:left="828" w:hanging="360"/>
      </w:pPr>
      <w:rPr>
        <w:rFonts w:asciiTheme="minorHAnsi" w:eastAsia="Times New Roman" w:hAnsiTheme="minorHAnsi" w:cstheme="minorHAnsi" w:hint="default"/>
        <w:spacing w:val="-5"/>
        <w:w w:val="99"/>
        <w:sz w:val="22"/>
        <w:szCs w:val="22"/>
      </w:rPr>
    </w:lvl>
    <w:lvl w:ilvl="2" w:tplc="79D2F5DC">
      <w:numFmt w:val="bullet"/>
      <w:lvlText w:val=""/>
      <w:lvlJc w:val="left"/>
      <w:pPr>
        <w:ind w:left="1548" w:hanging="360"/>
      </w:pPr>
      <w:rPr>
        <w:rFonts w:ascii="Symbol" w:eastAsia="Symbol" w:hAnsi="Symbol" w:cs="Symbol" w:hint="default"/>
        <w:w w:val="100"/>
        <w:sz w:val="24"/>
        <w:szCs w:val="24"/>
      </w:rPr>
    </w:lvl>
    <w:lvl w:ilvl="3" w:tplc="7D88693C">
      <w:numFmt w:val="bullet"/>
      <w:lvlText w:val="•"/>
      <w:lvlJc w:val="left"/>
      <w:pPr>
        <w:ind w:left="1540" w:hanging="360"/>
      </w:pPr>
    </w:lvl>
    <w:lvl w:ilvl="4" w:tplc="A41AE58A">
      <w:numFmt w:val="bullet"/>
      <w:lvlText w:val="•"/>
      <w:lvlJc w:val="left"/>
      <w:pPr>
        <w:ind w:left="2811" w:hanging="360"/>
      </w:pPr>
    </w:lvl>
    <w:lvl w:ilvl="5" w:tplc="7C347BAE">
      <w:numFmt w:val="bullet"/>
      <w:lvlText w:val="•"/>
      <w:lvlJc w:val="left"/>
      <w:pPr>
        <w:ind w:left="4082" w:hanging="360"/>
      </w:pPr>
    </w:lvl>
    <w:lvl w:ilvl="6" w:tplc="28A81AFA">
      <w:numFmt w:val="bullet"/>
      <w:lvlText w:val="•"/>
      <w:lvlJc w:val="left"/>
      <w:pPr>
        <w:ind w:left="5354" w:hanging="360"/>
      </w:pPr>
    </w:lvl>
    <w:lvl w:ilvl="7" w:tplc="54D03E48">
      <w:numFmt w:val="bullet"/>
      <w:lvlText w:val="•"/>
      <w:lvlJc w:val="left"/>
      <w:pPr>
        <w:ind w:left="6625" w:hanging="360"/>
      </w:pPr>
    </w:lvl>
    <w:lvl w:ilvl="8" w:tplc="D9006DCE">
      <w:numFmt w:val="bullet"/>
      <w:lvlText w:val="•"/>
      <w:lvlJc w:val="left"/>
      <w:pPr>
        <w:ind w:left="7897" w:hanging="360"/>
      </w:pPr>
    </w:lvl>
  </w:abstractNum>
  <w:abstractNum w:abstractNumId="1" w15:restartNumberingAfterBreak="0">
    <w:nsid w:val="231E6059"/>
    <w:multiLevelType w:val="hybridMultilevel"/>
    <w:tmpl w:val="1B22463C"/>
    <w:lvl w:ilvl="0" w:tplc="C164BF56">
      <w:numFmt w:val="bullet"/>
      <w:lvlText w:val=""/>
      <w:lvlJc w:val="left"/>
      <w:pPr>
        <w:ind w:left="1548" w:hanging="372"/>
      </w:pPr>
      <w:rPr>
        <w:rFonts w:ascii="Wingdings 2" w:eastAsia="Wingdings 2" w:hAnsi="Wingdings 2" w:cs="Wingdings 2" w:hint="default"/>
        <w:w w:val="99"/>
        <w:sz w:val="24"/>
        <w:szCs w:val="24"/>
      </w:rPr>
    </w:lvl>
    <w:lvl w:ilvl="1" w:tplc="EE200934">
      <w:numFmt w:val="bullet"/>
      <w:lvlText w:val="•"/>
      <w:lvlJc w:val="left"/>
      <w:pPr>
        <w:ind w:left="2430" w:hanging="372"/>
      </w:pPr>
    </w:lvl>
    <w:lvl w:ilvl="2" w:tplc="71AE85FE">
      <w:numFmt w:val="bullet"/>
      <w:lvlText w:val="•"/>
      <w:lvlJc w:val="left"/>
      <w:pPr>
        <w:ind w:left="3320" w:hanging="372"/>
      </w:pPr>
    </w:lvl>
    <w:lvl w:ilvl="3" w:tplc="E5F68EEC">
      <w:numFmt w:val="bullet"/>
      <w:lvlText w:val="•"/>
      <w:lvlJc w:val="left"/>
      <w:pPr>
        <w:ind w:left="4210" w:hanging="372"/>
      </w:pPr>
    </w:lvl>
    <w:lvl w:ilvl="4" w:tplc="8224FCCE">
      <w:numFmt w:val="bullet"/>
      <w:lvlText w:val="•"/>
      <w:lvlJc w:val="left"/>
      <w:pPr>
        <w:ind w:left="5100" w:hanging="372"/>
      </w:pPr>
    </w:lvl>
    <w:lvl w:ilvl="5" w:tplc="0464B9C8">
      <w:numFmt w:val="bullet"/>
      <w:lvlText w:val="•"/>
      <w:lvlJc w:val="left"/>
      <w:pPr>
        <w:ind w:left="5990" w:hanging="372"/>
      </w:pPr>
    </w:lvl>
    <w:lvl w:ilvl="6" w:tplc="D764BE4A">
      <w:numFmt w:val="bullet"/>
      <w:lvlText w:val="•"/>
      <w:lvlJc w:val="left"/>
      <w:pPr>
        <w:ind w:left="6880" w:hanging="372"/>
      </w:pPr>
    </w:lvl>
    <w:lvl w:ilvl="7" w:tplc="A600DBC0">
      <w:numFmt w:val="bullet"/>
      <w:lvlText w:val="•"/>
      <w:lvlJc w:val="left"/>
      <w:pPr>
        <w:ind w:left="7770" w:hanging="372"/>
      </w:pPr>
    </w:lvl>
    <w:lvl w:ilvl="8" w:tplc="E80CA682">
      <w:numFmt w:val="bullet"/>
      <w:lvlText w:val="•"/>
      <w:lvlJc w:val="left"/>
      <w:pPr>
        <w:ind w:left="8660" w:hanging="372"/>
      </w:pPr>
    </w:lvl>
  </w:abstractNum>
  <w:abstractNum w:abstractNumId="2" w15:restartNumberingAfterBreak="0">
    <w:nsid w:val="72253749"/>
    <w:multiLevelType w:val="hybridMultilevel"/>
    <w:tmpl w:val="56E6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86565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903177160">
    <w:abstractNumId w:val="1"/>
  </w:num>
  <w:num w:numId="3" w16cid:durableId="1809319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50"/>
    <w:rsid w:val="00074050"/>
    <w:rsid w:val="000F5C72"/>
    <w:rsid w:val="002A7E4B"/>
    <w:rsid w:val="002D7610"/>
    <w:rsid w:val="00315A6C"/>
    <w:rsid w:val="003C290C"/>
    <w:rsid w:val="003F5D06"/>
    <w:rsid w:val="00410AF2"/>
    <w:rsid w:val="00447074"/>
    <w:rsid w:val="00716A76"/>
    <w:rsid w:val="00A45B79"/>
    <w:rsid w:val="00A73B93"/>
    <w:rsid w:val="00A77280"/>
    <w:rsid w:val="00AB0CF2"/>
    <w:rsid w:val="00CE2548"/>
    <w:rsid w:val="00D02568"/>
    <w:rsid w:val="00F2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996B"/>
  <w15:chartTrackingRefBased/>
  <w15:docId w15:val="{E60D9195-FB9C-4905-A3C1-0FB45E6B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074"/>
    <w:pPr>
      <w:ind w:left="720"/>
      <w:contextualSpacing/>
    </w:pPr>
  </w:style>
  <w:style w:type="character" w:styleId="Hyperlink">
    <w:name w:val="Hyperlink"/>
    <w:basedOn w:val="DefaultParagraphFont"/>
    <w:uiPriority w:val="99"/>
    <w:semiHidden/>
    <w:unhideWhenUsed/>
    <w:rsid w:val="004470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867042">
      <w:bodyDiv w:val="1"/>
      <w:marLeft w:val="0"/>
      <w:marRight w:val="0"/>
      <w:marTop w:val="0"/>
      <w:marBottom w:val="0"/>
      <w:divBdr>
        <w:top w:val="none" w:sz="0" w:space="0" w:color="auto"/>
        <w:left w:val="none" w:sz="0" w:space="0" w:color="auto"/>
        <w:bottom w:val="none" w:sz="0" w:space="0" w:color="auto"/>
        <w:right w:val="none" w:sz="0" w:space="0" w:color="auto"/>
      </w:divBdr>
    </w:div>
    <w:div w:id="169969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alac.org/accreditation/RefResources/ReportofACLAMTaskForceonRodentEuthanasia.pdf" TargetMode="External"/><Relationship Id="rId5" Type="http://schemas.openxmlformats.org/officeDocument/2006/relationships/hyperlink" Target="http://www.avma.org/KB/Policies/Documents/euthanasi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2616</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Moorman-White, Diane</dc:creator>
  <cp:keywords/>
  <dc:description/>
  <cp:lastModifiedBy>Bucher, Jamie</cp:lastModifiedBy>
  <cp:revision>4</cp:revision>
  <dcterms:created xsi:type="dcterms:W3CDTF">2022-09-21T13:42:00Z</dcterms:created>
  <dcterms:modified xsi:type="dcterms:W3CDTF">2026-03-19T12:51:00Z</dcterms:modified>
</cp:coreProperties>
</file>