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88DE2" w14:textId="77777777" w:rsidR="00976584" w:rsidRDefault="003078FD" w:rsidP="00976584">
      <w:pPr>
        <w:pStyle w:val="Heading1"/>
        <w:spacing w:before="39"/>
        <w:ind w:right="240"/>
        <w:jc w:val="center"/>
      </w:pPr>
      <w:r>
        <w:t xml:space="preserve">Guidance for the Preparation, Storage and Use of Tribromoethanol (TBE) in Mice </w:t>
      </w:r>
    </w:p>
    <w:p w14:paraId="03161BC2" w14:textId="74ADEAE0" w:rsidR="001C0AA4" w:rsidRDefault="003078FD" w:rsidP="00976584">
      <w:pPr>
        <w:pStyle w:val="Heading1"/>
        <w:spacing w:before="39"/>
        <w:ind w:right="240"/>
        <w:jc w:val="center"/>
      </w:pPr>
      <w:r w:rsidRPr="00976584">
        <w:rPr>
          <w:b w:val="0"/>
          <w:bCs w:val="0"/>
        </w:rPr>
        <w:t xml:space="preserve">Reviewed and approved by UCAR </w:t>
      </w:r>
      <w:r w:rsidR="00B619B2" w:rsidRPr="00976584">
        <w:rPr>
          <w:b w:val="0"/>
          <w:bCs w:val="0"/>
        </w:rPr>
        <w:t>12/20/23</w:t>
      </w:r>
    </w:p>
    <w:p w14:paraId="579C2042" w14:textId="77777777" w:rsidR="00976584" w:rsidRDefault="00976584">
      <w:pPr>
        <w:ind w:left="120"/>
        <w:rPr>
          <w:b/>
          <w:sz w:val="24"/>
        </w:rPr>
      </w:pPr>
    </w:p>
    <w:p w14:paraId="0233999A" w14:textId="7C07F056" w:rsidR="001C0AA4" w:rsidRDefault="003078FD">
      <w:pPr>
        <w:ind w:left="120"/>
        <w:rPr>
          <w:b/>
          <w:sz w:val="24"/>
        </w:rPr>
      </w:pPr>
      <w:r>
        <w:rPr>
          <w:b/>
          <w:sz w:val="24"/>
        </w:rPr>
        <w:t>Background</w:t>
      </w:r>
    </w:p>
    <w:p w14:paraId="10985E4D" w14:textId="77777777" w:rsidR="001C0AA4" w:rsidRDefault="001C0AA4">
      <w:pPr>
        <w:pStyle w:val="BodyText"/>
        <w:rPr>
          <w:b/>
        </w:rPr>
      </w:pPr>
    </w:p>
    <w:p w14:paraId="406660AC" w14:textId="75CA1A5C" w:rsidR="001C0AA4" w:rsidRDefault="003078FD">
      <w:pPr>
        <w:pStyle w:val="BodyText"/>
        <w:ind w:left="119" w:right="207" w:firstLine="720"/>
      </w:pPr>
      <w:r>
        <w:t>Tribromoethanol (TBE; also referred to as Avertin) is an injectable anesthetic</w:t>
      </w:r>
      <w:r w:rsidR="00CA6B42">
        <w:t xml:space="preserve"> that is not available as a pharmaceutical grade product</w:t>
      </w:r>
      <w:r w:rsidR="00EF003F">
        <w:t xml:space="preserve">. </w:t>
      </w:r>
      <w:r w:rsidR="00CA6B42" w:rsidRPr="008B5BA7">
        <w:rPr>
          <w:i/>
        </w:rPr>
        <w:t>The Guide</w:t>
      </w:r>
      <w:r w:rsidR="00CA6B42">
        <w:t xml:space="preserve"> states that pharmaceutical-grade products should be used when available for all animal-related procedures.</w:t>
      </w:r>
      <w:r w:rsidR="00CA6B42" w:rsidRPr="00CA6B42">
        <w:t xml:space="preserve"> </w:t>
      </w:r>
      <w:proofErr w:type="gramStart"/>
      <w:r w:rsidR="00CA6B42">
        <w:t>A number of</w:t>
      </w:r>
      <w:proofErr w:type="gramEnd"/>
      <w:r w:rsidR="00CA6B42">
        <w:t xml:space="preserve"> published reports have drawn attention to potential toxic effects after the intraperitoneal administration of TBE to mice.</w:t>
      </w:r>
      <w:r w:rsidR="00CA6B42" w:rsidRPr="00CA6B42">
        <w:t xml:space="preserve"> </w:t>
      </w:r>
      <w:r w:rsidR="00CA6B42">
        <w:t xml:space="preserve">TBE as a powder or in solution generates toxic degradation products in the presence of heat or light. </w:t>
      </w:r>
      <w:proofErr w:type="gramStart"/>
      <w:r w:rsidR="00CA6B42">
        <w:t>Particular care</w:t>
      </w:r>
      <w:proofErr w:type="gramEnd"/>
      <w:r w:rsidR="00CA6B42">
        <w:t xml:space="preserve"> must be taken to ensure that TBE preparations used for animal anesthesia do not introduce toxic or unwanted side effects into studies and remain safe and effective for the duration of their shelf life. SOPs for TBE preparation, storage, and use are provided </w:t>
      </w:r>
      <w:proofErr w:type="gramStart"/>
      <w:r w:rsidR="00CA6B42">
        <w:t>below.</w:t>
      </w:r>
      <w:r>
        <w:t>.</w:t>
      </w:r>
      <w:proofErr w:type="gramEnd"/>
      <w:r>
        <w:t xml:space="preserve"> </w:t>
      </w:r>
    </w:p>
    <w:p w14:paraId="7CC8C102" w14:textId="77777777" w:rsidR="001C0AA4" w:rsidRDefault="001C0AA4">
      <w:pPr>
        <w:pStyle w:val="BodyText"/>
      </w:pPr>
    </w:p>
    <w:p w14:paraId="3CA16429" w14:textId="77777777" w:rsidR="001C0AA4" w:rsidRDefault="003078FD">
      <w:pPr>
        <w:pStyle w:val="Heading1"/>
      </w:pPr>
      <w:r>
        <w:t>UCAR Considerations</w:t>
      </w:r>
    </w:p>
    <w:p w14:paraId="168C4B3E" w14:textId="77777777" w:rsidR="001C0AA4" w:rsidRDefault="003078FD">
      <w:pPr>
        <w:pStyle w:val="BodyText"/>
        <w:ind w:left="119" w:right="207" w:firstLine="720"/>
      </w:pPr>
      <w:r>
        <w:t xml:space="preserve">Researchers </w:t>
      </w:r>
      <w:r>
        <w:rPr>
          <w:u w:val="single"/>
        </w:rPr>
        <w:t xml:space="preserve">must </w:t>
      </w:r>
      <w:r>
        <w:t>provide scientific justification in the UCAR protocol for the use of TBE as an anesthetic (e.g. why commercially available veterinary or human pharmaceutical grade anesthetics cannot be used). Additionally, researchers must justify the use of more than one dose of TBE in an individual animal for survival procedures. Cost savings or convenience are not an adequate justification for the use of non- pharmaceutical grade or compounded drugs in animals (</w:t>
      </w:r>
      <w:r>
        <w:rPr>
          <w:i/>
        </w:rPr>
        <w:t>Guide for the Care and Use of Laboratory Animals: Eighth Edition</w:t>
      </w:r>
      <w:r>
        <w:t>, 2011, p.31).</w:t>
      </w:r>
      <w:r w:rsidR="00AB6ACB">
        <w:t xml:space="preserve"> Acceptable justification relies on known impact on measured outcomes, which is substantiated by data and published reports.</w:t>
      </w:r>
    </w:p>
    <w:p w14:paraId="1F2F54E7" w14:textId="77777777" w:rsidR="001C0AA4" w:rsidRDefault="001C0AA4">
      <w:pPr>
        <w:pStyle w:val="BodyText"/>
        <w:spacing w:before="12"/>
        <w:rPr>
          <w:sz w:val="23"/>
        </w:rPr>
      </w:pPr>
    </w:p>
    <w:p w14:paraId="15310E32" w14:textId="77777777" w:rsidR="001C0AA4" w:rsidRDefault="001C0AA4">
      <w:pPr>
        <w:pStyle w:val="BodyText"/>
        <w:spacing w:before="1"/>
      </w:pPr>
    </w:p>
    <w:p w14:paraId="15FA635E" w14:textId="668E644D" w:rsidR="001C0AA4" w:rsidRDefault="00A079D8" w:rsidP="00F121EC">
      <w:pPr>
        <w:pStyle w:val="Heading1"/>
        <w:spacing w:line="480" w:lineRule="auto"/>
        <w:ind w:left="199" w:right="3480"/>
      </w:pPr>
      <w:r>
        <w:t>SOP</w:t>
      </w:r>
      <w:r w:rsidR="003078FD">
        <w:t xml:space="preserve"> for TBE preparation, storage, and use </w:t>
      </w:r>
      <w:r w:rsidR="00F05870">
        <w:t>–</w:t>
      </w:r>
      <w:r w:rsidR="003078FD">
        <w:t xml:space="preserve"> </w:t>
      </w:r>
      <w:proofErr w:type="gramStart"/>
      <w:r w:rsidR="003078FD">
        <w:t>TBE</w:t>
      </w:r>
      <w:r w:rsidR="00F05870">
        <w:t xml:space="preserve">  </w:t>
      </w:r>
      <w:r w:rsidR="003078FD">
        <w:t>preparation</w:t>
      </w:r>
      <w:proofErr w:type="gramEnd"/>
    </w:p>
    <w:p w14:paraId="41C2C066" w14:textId="77777777" w:rsidR="001C0AA4" w:rsidRDefault="003078FD">
      <w:pPr>
        <w:pStyle w:val="BodyText"/>
        <w:ind w:left="199" w:right="370"/>
      </w:pPr>
      <w:r>
        <w:t>The following method is for the preparation of 500 ml of a 2% working strength solution of TBE. The process can be scaled up for larger volumes.</w:t>
      </w:r>
    </w:p>
    <w:p w14:paraId="675BEC2F" w14:textId="77777777" w:rsidR="001C0AA4" w:rsidRDefault="001C0AA4">
      <w:pPr>
        <w:pStyle w:val="BodyText"/>
      </w:pPr>
    </w:p>
    <w:p w14:paraId="4C80ACD4" w14:textId="77777777" w:rsidR="001C0AA4" w:rsidRDefault="003078FD">
      <w:pPr>
        <w:pStyle w:val="BodyText"/>
        <w:ind w:left="200"/>
      </w:pPr>
      <w:r>
        <w:rPr>
          <w:u w:val="single"/>
        </w:rPr>
        <w:t>Ingredients</w:t>
      </w:r>
    </w:p>
    <w:p w14:paraId="7F730E1D" w14:textId="77777777" w:rsidR="001C0AA4" w:rsidRDefault="001C0AA4">
      <w:pPr>
        <w:pStyle w:val="BodyText"/>
        <w:spacing w:before="9"/>
        <w:rPr>
          <w:sz w:val="19"/>
        </w:rPr>
      </w:pPr>
    </w:p>
    <w:p w14:paraId="7BF16B36" w14:textId="77777777" w:rsidR="001C0AA4" w:rsidRDefault="003078FD">
      <w:pPr>
        <w:pStyle w:val="BodyText"/>
        <w:spacing w:before="51"/>
        <w:ind w:left="200"/>
      </w:pPr>
      <w:r>
        <w:t>2,2,2-tribromoethanol (Aldrich T4,840-2)</w:t>
      </w:r>
    </w:p>
    <w:p w14:paraId="77AB0068" w14:textId="77777777" w:rsidR="001C0AA4" w:rsidRDefault="003078FD">
      <w:pPr>
        <w:pStyle w:val="BodyText"/>
        <w:ind w:left="200" w:right="4159"/>
      </w:pPr>
      <w:r>
        <w:t>tertiary-amyl alcohol (2-methyl-2-butanol) (JT Baker 9046-01) Distilled water</w:t>
      </w:r>
    </w:p>
    <w:p w14:paraId="763B977B" w14:textId="77777777" w:rsidR="00C80E2C" w:rsidRDefault="00C80E2C">
      <w:pPr>
        <w:pStyle w:val="BodyText"/>
        <w:ind w:left="200" w:right="4159"/>
      </w:pPr>
      <w:r>
        <w:t>CRITICAL – use ONLY glass containers, pipets etc., never plastic.</w:t>
      </w:r>
    </w:p>
    <w:p w14:paraId="672F33B4" w14:textId="77777777" w:rsidR="001C0AA4" w:rsidRDefault="001C0AA4">
      <w:pPr>
        <w:pStyle w:val="BodyText"/>
        <w:spacing w:before="2"/>
      </w:pPr>
    </w:p>
    <w:p w14:paraId="18DF817F" w14:textId="77777777" w:rsidR="001C0AA4" w:rsidRDefault="003078FD">
      <w:pPr>
        <w:pStyle w:val="BodyText"/>
        <w:spacing w:before="1"/>
        <w:ind w:left="200"/>
      </w:pPr>
      <w:r>
        <w:rPr>
          <w:color w:val="484948"/>
          <w:u w:val="single" w:color="484948"/>
        </w:rPr>
        <w:t>Directions</w:t>
      </w:r>
    </w:p>
    <w:p w14:paraId="51779757" w14:textId="77777777" w:rsidR="001C0AA4" w:rsidRDefault="001C0AA4">
      <w:pPr>
        <w:pStyle w:val="BodyText"/>
        <w:spacing w:before="12"/>
        <w:rPr>
          <w:sz w:val="16"/>
        </w:rPr>
      </w:pPr>
    </w:p>
    <w:p w14:paraId="73F5B2E7" w14:textId="77777777" w:rsidR="001C0AA4" w:rsidRDefault="003078FD">
      <w:pPr>
        <w:pStyle w:val="ListParagraph"/>
        <w:numPr>
          <w:ilvl w:val="0"/>
          <w:numId w:val="2"/>
        </w:numPr>
        <w:tabs>
          <w:tab w:val="left" w:pos="559"/>
          <w:tab w:val="left" w:pos="560"/>
        </w:tabs>
        <w:spacing w:before="85"/>
        <w:ind w:right="499"/>
        <w:rPr>
          <w:sz w:val="24"/>
        </w:rPr>
      </w:pPr>
      <w:r>
        <w:rPr>
          <w:sz w:val="24"/>
        </w:rPr>
        <w:t xml:space="preserve">Combine 10 g TBE and 10 ml tert-amyl alcohol in a </w:t>
      </w:r>
      <w:proofErr w:type="gramStart"/>
      <w:r>
        <w:rPr>
          <w:sz w:val="24"/>
        </w:rPr>
        <w:t>small sealed</w:t>
      </w:r>
      <w:proofErr w:type="gramEnd"/>
      <w:r>
        <w:rPr>
          <w:sz w:val="24"/>
        </w:rPr>
        <w:t xml:space="preserve"> flask. Stir on a magnetic stirrer (in fume hood) at room temperature until TBE is completely</w:t>
      </w:r>
      <w:r>
        <w:rPr>
          <w:spacing w:val="-16"/>
          <w:sz w:val="24"/>
        </w:rPr>
        <w:t xml:space="preserve"> </w:t>
      </w:r>
      <w:r>
        <w:rPr>
          <w:sz w:val="24"/>
        </w:rPr>
        <w:t>dissolved.</w:t>
      </w:r>
    </w:p>
    <w:p w14:paraId="33DD4101" w14:textId="77777777" w:rsidR="001C0AA4" w:rsidRDefault="001C0AA4">
      <w:pPr>
        <w:pStyle w:val="BodyText"/>
        <w:spacing w:before="11"/>
        <w:rPr>
          <w:sz w:val="23"/>
        </w:rPr>
      </w:pPr>
    </w:p>
    <w:p w14:paraId="4A138B38" w14:textId="77777777" w:rsidR="001C0AA4" w:rsidRDefault="003078FD">
      <w:pPr>
        <w:pStyle w:val="ListParagraph"/>
        <w:numPr>
          <w:ilvl w:val="0"/>
          <w:numId w:val="2"/>
        </w:numPr>
        <w:tabs>
          <w:tab w:val="left" w:pos="559"/>
          <w:tab w:val="left" w:pos="560"/>
        </w:tabs>
        <w:ind w:right="219"/>
        <w:rPr>
          <w:sz w:val="24"/>
        </w:rPr>
      </w:pPr>
      <w:r>
        <w:rPr>
          <w:sz w:val="24"/>
        </w:rPr>
        <w:t>Add TBE solution very slowly (</w:t>
      </w:r>
      <w:proofErr w:type="gramStart"/>
      <w:r>
        <w:rPr>
          <w:sz w:val="24"/>
        </w:rPr>
        <w:t>drop-wise</w:t>
      </w:r>
      <w:proofErr w:type="gramEnd"/>
      <w:r>
        <w:rPr>
          <w:sz w:val="24"/>
        </w:rPr>
        <w:t xml:space="preserve"> with constant stirring) to pre-warmed distilled water to a final volume of 500 ml. Continue stirring on a heated magnetic stirrer (lowest heat setting; water should be 22- 28</w:t>
      </w:r>
      <w:r>
        <w:rPr>
          <w:rFonts w:ascii="Symbol" w:hAnsi="Symbol"/>
          <w:sz w:val="24"/>
        </w:rPr>
        <w:t></w:t>
      </w:r>
      <w:r>
        <w:rPr>
          <w:sz w:val="24"/>
        </w:rPr>
        <w:t>C) until the solution is completely clear. This step can take several hours (or overnight). During this process, keep the container wrapped in foil to exclude</w:t>
      </w:r>
      <w:r>
        <w:rPr>
          <w:spacing w:val="-17"/>
          <w:sz w:val="24"/>
        </w:rPr>
        <w:t xml:space="preserve"> </w:t>
      </w:r>
      <w:r>
        <w:rPr>
          <w:sz w:val="24"/>
        </w:rPr>
        <w:t>light.</w:t>
      </w:r>
    </w:p>
    <w:p w14:paraId="6AD0C499" w14:textId="77777777" w:rsidR="001C0AA4" w:rsidRDefault="001C0AA4">
      <w:pPr>
        <w:pStyle w:val="BodyText"/>
        <w:spacing w:before="10"/>
        <w:rPr>
          <w:sz w:val="23"/>
        </w:rPr>
      </w:pPr>
    </w:p>
    <w:p w14:paraId="661318F1" w14:textId="5B6B40DB" w:rsidR="001C0AA4" w:rsidRDefault="003078FD">
      <w:pPr>
        <w:pStyle w:val="ListParagraph"/>
        <w:numPr>
          <w:ilvl w:val="0"/>
          <w:numId w:val="2"/>
        </w:numPr>
        <w:tabs>
          <w:tab w:val="left" w:pos="559"/>
          <w:tab w:val="left" w:pos="560"/>
        </w:tabs>
        <w:ind w:right="446"/>
        <w:rPr>
          <w:sz w:val="24"/>
        </w:rPr>
      </w:pPr>
      <w:r>
        <w:rPr>
          <w:sz w:val="24"/>
        </w:rPr>
        <w:t xml:space="preserve">Allow the clarified solution to come to room temperature and filter sterilize through a 0.2 </w:t>
      </w:r>
      <w:r>
        <w:rPr>
          <w:rFonts w:ascii="Symbol" w:hAnsi="Symbol"/>
          <w:sz w:val="24"/>
        </w:rPr>
        <w:t></w:t>
      </w:r>
      <w:r>
        <w:rPr>
          <w:sz w:val="24"/>
        </w:rPr>
        <w:t>m filter</w:t>
      </w:r>
      <w:r w:rsidR="00A079D8">
        <w:rPr>
          <w:sz w:val="24"/>
        </w:rPr>
        <w:t>.</w:t>
      </w:r>
    </w:p>
    <w:p w14:paraId="05B0BD08" w14:textId="77777777" w:rsidR="001C0AA4" w:rsidRDefault="001C0AA4">
      <w:pPr>
        <w:pStyle w:val="BodyText"/>
        <w:spacing w:before="11"/>
        <w:rPr>
          <w:sz w:val="23"/>
        </w:rPr>
      </w:pPr>
    </w:p>
    <w:p w14:paraId="68508976" w14:textId="77777777" w:rsidR="001C0AA4" w:rsidRDefault="003078FD">
      <w:pPr>
        <w:pStyle w:val="ListParagraph"/>
        <w:numPr>
          <w:ilvl w:val="0"/>
          <w:numId w:val="2"/>
        </w:numPr>
        <w:tabs>
          <w:tab w:val="left" w:pos="559"/>
          <w:tab w:val="left" w:pos="560"/>
        </w:tabs>
        <w:ind w:right="953"/>
        <w:rPr>
          <w:sz w:val="24"/>
        </w:rPr>
      </w:pPr>
      <w:r>
        <w:rPr>
          <w:sz w:val="24"/>
        </w:rPr>
        <w:t xml:space="preserve">Aliquot TBE preparation in sterile amber glass bottles. </w:t>
      </w:r>
      <w:r w:rsidR="00BB17B3">
        <w:rPr>
          <w:sz w:val="24"/>
        </w:rPr>
        <w:t xml:space="preserve">Blow argon gas over the surface of the </w:t>
      </w:r>
      <w:r w:rsidR="00BB17B3">
        <w:rPr>
          <w:sz w:val="24"/>
        </w:rPr>
        <w:lastRenderedPageBreak/>
        <w:t xml:space="preserve">liquid before capping. </w:t>
      </w:r>
      <w:r>
        <w:rPr>
          <w:sz w:val="24"/>
        </w:rPr>
        <w:t>Cap bottles with sterile rubber stoppers and “removable center” crimp</w:t>
      </w:r>
      <w:r>
        <w:rPr>
          <w:spacing w:val="-10"/>
          <w:sz w:val="24"/>
        </w:rPr>
        <w:t xml:space="preserve"> </w:t>
      </w:r>
      <w:r>
        <w:rPr>
          <w:sz w:val="24"/>
        </w:rPr>
        <w:t>seals.</w:t>
      </w:r>
    </w:p>
    <w:p w14:paraId="74B65E7D" w14:textId="77777777" w:rsidR="001C0AA4" w:rsidRDefault="001C0AA4">
      <w:pPr>
        <w:pStyle w:val="BodyText"/>
        <w:spacing w:before="10"/>
        <w:rPr>
          <w:sz w:val="23"/>
        </w:rPr>
      </w:pPr>
    </w:p>
    <w:p w14:paraId="1353CD76" w14:textId="77777777" w:rsidR="001C0AA4" w:rsidRDefault="003078FD">
      <w:pPr>
        <w:pStyle w:val="ListParagraph"/>
        <w:numPr>
          <w:ilvl w:val="0"/>
          <w:numId w:val="2"/>
        </w:numPr>
        <w:tabs>
          <w:tab w:val="left" w:pos="559"/>
          <w:tab w:val="left" w:pos="560"/>
        </w:tabs>
        <w:spacing w:before="1" w:line="242" w:lineRule="auto"/>
        <w:ind w:right="456"/>
        <w:rPr>
          <w:sz w:val="24"/>
        </w:rPr>
      </w:pPr>
      <w:r>
        <w:rPr>
          <w:sz w:val="24"/>
        </w:rPr>
        <w:t>Label bottles, including production and expiration dates. Store protected from light at 4</w:t>
      </w:r>
      <w:r>
        <w:rPr>
          <w:rFonts w:ascii="Symbol" w:hAnsi="Symbol"/>
          <w:sz w:val="24"/>
        </w:rPr>
        <w:t></w:t>
      </w:r>
      <w:r>
        <w:rPr>
          <w:sz w:val="24"/>
        </w:rPr>
        <w:t>C. This working strength TBE preparation can be used for up to 6 months from date of</w:t>
      </w:r>
      <w:r>
        <w:rPr>
          <w:spacing w:val="-22"/>
          <w:sz w:val="24"/>
        </w:rPr>
        <w:t xml:space="preserve"> </w:t>
      </w:r>
      <w:r>
        <w:rPr>
          <w:sz w:val="24"/>
        </w:rPr>
        <w:t>preparation.</w:t>
      </w:r>
    </w:p>
    <w:p w14:paraId="10FDD8A6" w14:textId="77777777" w:rsidR="001C0AA4" w:rsidRDefault="001C0AA4">
      <w:pPr>
        <w:pStyle w:val="BodyText"/>
        <w:spacing w:before="9"/>
        <w:rPr>
          <w:sz w:val="23"/>
        </w:rPr>
      </w:pPr>
    </w:p>
    <w:p w14:paraId="7A49C7F5" w14:textId="77777777" w:rsidR="00BB17B3" w:rsidRDefault="00BB17B3">
      <w:pPr>
        <w:pStyle w:val="BodyText"/>
      </w:pPr>
    </w:p>
    <w:p w14:paraId="7B88F5B1" w14:textId="77777777" w:rsidR="001C0AA4" w:rsidRDefault="003078FD">
      <w:pPr>
        <w:pStyle w:val="Heading1"/>
        <w:ind w:left="119"/>
      </w:pPr>
      <w:r>
        <w:t>TBE administration</w:t>
      </w:r>
    </w:p>
    <w:p w14:paraId="50467286" w14:textId="77777777" w:rsidR="001C0AA4" w:rsidRDefault="001C0AA4">
      <w:pPr>
        <w:pStyle w:val="BodyText"/>
        <w:spacing w:before="1"/>
        <w:rPr>
          <w:b/>
        </w:rPr>
      </w:pPr>
    </w:p>
    <w:p w14:paraId="39A455D2" w14:textId="2D3D3924" w:rsidR="001C0AA4" w:rsidRDefault="003078FD">
      <w:pPr>
        <w:pStyle w:val="BodyText"/>
        <w:ind w:left="120" w:right="701"/>
      </w:pPr>
      <w:r>
        <w:rPr>
          <w:u w:val="single"/>
        </w:rPr>
        <w:t>Mice</w:t>
      </w:r>
      <w:r>
        <w:t xml:space="preserve">: 250 mg/kg IP. Typically, 0.25-0.30 ml of a 2% working strength TBE solution is appropriate for a </w:t>
      </w:r>
      <w:proofErr w:type="gramStart"/>
      <w:r>
        <w:t>6-8 week-old</w:t>
      </w:r>
      <w:proofErr w:type="gramEnd"/>
      <w:r>
        <w:t xml:space="preserve"> mouse of approximately 20 g. Dosage may have to be adjusted for some mouse strains</w:t>
      </w:r>
      <w:r w:rsidR="00F05870">
        <w:t>; testing the dose is recommended</w:t>
      </w:r>
      <w:r>
        <w:t>.</w:t>
      </w:r>
      <w:r w:rsidR="00F05870">
        <w:t xml:space="preserve"> Animals will stay sedated for 20-40min and must be monitored until conscious.  </w:t>
      </w:r>
    </w:p>
    <w:p w14:paraId="707D3CA4" w14:textId="77777777" w:rsidR="001C0AA4" w:rsidRDefault="001C0AA4">
      <w:pPr>
        <w:pStyle w:val="BodyText"/>
        <w:spacing w:before="11"/>
        <w:rPr>
          <w:sz w:val="35"/>
        </w:rPr>
      </w:pPr>
    </w:p>
    <w:p w14:paraId="0F8C5A3D" w14:textId="77777777" w:rsidR="001C0AA4" w:rsidRDefault="003078FD">
      <w:pPr>
        <w:pStyle w:val="Heading1"/>
      </w:pPr>
      <w:r>
        <w:t>Exemptions</w:t>
      </w:r>
    </w:p>
    <w:p w14:paraId="166E96FA" w14:textId="77777777" w:rsidR="001C0AA4" w:rsidRDefault="003078FD">
      <w:pPr>
        <w:pStyle w:val="BodyText"/>
        <w:spacing w:before="146" w:line="360" w:lineRule="auto"/>
        <w:ind w:left="119" w:right="225"/>
      </w:pPr>
      <w:r>
        <w:t xml:space="preserve">If you adhere to the provisions described </w:t>
      </w:r>
      <w:proofErr w:type="gramStart"/>
      <w:r>
        <w:t>above</w:t>
      </w:r>
      <w:proofErr w:type="gramEnd"/>
      <w:r>
        <w:t xml:space="preserve"> then you are adhering to UCAR guidance. Exemptions to this guidance must be described in the protocol, reviewed and approved by UCAR. If you have any questions about alternative anesthetics, contact DCM at X 5-2653.</w:t>
      </w:r>
    </w:p>
    <w:p w14:paraId="2BA2ACDE" w14:textId="77777777" w:rsidR="001C0AA4" w:rsidRDefault="001C0AA4">
      <w:pPr>
        <w:pStyle w:val="BodyText"/>
      </w:pPr>
    </w:p>
    <w:p w14:paraId="1ACE9565" w14:textId="77777777" w:rsidR="001C0AA4" w:rsidRDefault="001C0AA4">
      <w:pPr>
        <w:pStyle w:val="BodyText"/>
      </w:pPr>
    </w:p>
    <w:p w14:paraId="024607E1" w14:textId="77777777" w:rsidR="001C0AA4" w:rsidRDefault="001C0AA4">
      <w:pPr>
        <w:pStyle w:val="BodyText"/>
        <w:spacing w:before="10"/>
        <w:rPr>
          <w:sz w:val="32"/>
        </w:rPr>
      </w:pPr>
    </w:p>
    <w:p w14:paraId="53A90174" w14:textId="77777777" w:rsidR="001C0AA4" w:rsidRDefault="003078FD">
      <w:pPr>
        <w:pStyle w:val="Heading1"/>
        <w:ind w:left="119"/>
        <w:rPr>
          <w:rFonts w:ascii="Arial"/>
        </w:rPr>
      </w:pPr>
      <w:r>
        <w:rPr>
          <w:rFonts w:ascii="Arial"/>
        </w:rPr>
        <w:t>References</w:t>
      </w:r>
    </w:p>
    <w:p w14:paraId="15A99A42" w14:textId="77777777" w:rsidR="001C0AA4" w:rsidRDefault="003078FD">
      <w:pPr>
        <w:pStyle w:val="ListParagraph"/>
        <w:numPr>
          <w:ilvl w:val="0"/>
          <w:numId w:val="1"/>
        </w:numPr>
        <w:tabs>
          <w:tab w:val="left" w:pos="341"/>
        </w:tabs>
        <w:spacing w:before="1" w:line="242" w:lineRule="auto"/>
        <w:ind w:right="1934" w:firstLine="0"/>
        <w:rPr>
          <w:rFonts w:ascii="Arial" w:hAnsi="Arial"/>
          <w:sz w:val="20"/>
        </w:rPr>
      </w:pPr>
      <w:r>
        <w:rPr>
          <w:rFonts w:ascii="Arial" w:hAnsi="Arial"/>
          <w:sz w:val="20"/>
        </w:rPr>
        <w:t>Papaioannou VE and Fox JG. “Efficacy of tribromoethanol anesthesia in mice.” Lab Anim Sci. 1993 43(2):</w:t>
      </w:r>
      <w:proofErr w:type="gramStart"/>
      <w:r>
        <w:rPr>
          <w:rFonts w:ascii="Arial" w:hAnsi="Arial"/>
          <w:sz w:val="20"/>
        </w:rPr>
        <w:t>189</w:t>
      </w:r>
      <w:r>
        <w:rPr>
          <w:rFonts w:ascii="Cambria Math" w:hAnsi="Cambria Math"/>
          <w:sz w:val="20"/>
        </w:rPr>
        <w:t>‐</w:t>
      </w:r>
      <w:r>
        <w:rPr>
          <w:rFonts w:ascii="Arial" w:hAnsi="Arial"/>
          <w:sz w:val="20"/>
        </w:rPr>
        <w:t>92</w:t>
      </w:r>
      <w:proofErr w:type="gramEnd"/>
      <w:r>
        <w:rPr>
          <w:rFonts w:ascii="Arial" w:hAnsi="Arial"/>
          <w:sz w:val="20"/>
        </w:rPr>
        <w:t>.</w:t>
      </w:r>
    </w:p>
    <w:p w14:paraId="268F9BA9" w14:textId="77777777" w:rsidR="001C0AA4" w:rsidRDefault="003078FD">
      <w:pPr>
        <w:pStyle w:val="ListParagraph"/>
        <w:numPr>
          <w:ilvl w:val="0"/>
          <w:numId w:val="1"/>
        </w:numPr>
        <w:tabs>
          <w:tab w:val="left" w:pos="342"/>
        </w:tabs>
        <w:spacing w:line="226" w:lineRule="exact"/>
        <w:ind w:left="341"/>
        <w:rPr>
          <w:rFonts w:ascii="Arial" w:hAnsi="Arial"/>
          <w:sz w:val="20"/>
        </w:rPr>
      </w:pPr>
      <w:r>
        <w:rPr>
          <w:rFonts w:ascii="Arial" w:hAnsi="Arial"/>
          <w:sz w:val="20"/>
        </w:rPr>
        <w:t>Green CJ, et. al. “Animal Anesthesia.” London: Laboratory Animals Ltd, 1979.</w:t>
      </w:r>
      <w:r>
        <w:rPr>
          <w:rFonts w:ascii="Arial" w:hAnsi="Arial"/>
          <w:spacing w:val="-35"/>
          <w:sz w:val="20"/>
        </w:rPr>
        <w:t xml:space="preserve"> </w:t>
      </w:r>
      <w:r>
        <w:rPr>
          <w:rFonts w:ascii="Arial" w:hAnsi="Arial"/>
          <w:sz w:val="20"/>
        </w:rPr>
        <w:t>p79.</w:t>
      </w:r>
    </w:p>
    <w:p w14:paraId="6E537962" w14:textId="77777777" w:rsidR="001C0AA4" w:rsidRDefault="003078FD">
      <w:pPr>
        <w:pStyle w:val="ListParagraph"/>
        <w:numPr>
          <w:ilvl w:val="0"/>
          <w:numId w:val="1"/>
        </w:numPr>
        <w:tabs>
          <w:tab w:val="left" w:pos="342"/>
        </w:tabs>
        <w:spacing w:line="242" w:lineRule="auto"/>
        <w:ind w:right="2515" w:firstLine="0"/>
        <w:rPr>
          <w:rFonts w:ascii="Arial" w:hAnsi="Arial"/>
          <w:sz w:val="20"/>
        </w:rPr>
      </w:pPr>
      <w:r>
        <w:rPr>
          <w:rFonts w:ascii="Arial" w:hAnsi="Arial"/>
          <w:sz w:val="20"/>
        </w:rPr>
        <w:t>Meyer RE and Fish RE. “A review of tribromoethanol anesthesia for production of genetically Engineered mice and rats.” Lab Anim (NY). 2005</w:t>
      </w:r>
      <w:r>
        <w:rPr>
          <w:rFonts w:ascii="Arial" w:hAnsi="Arial"/>
          <w:spacing w:val="-29"/>
          <w:sz w:val="20"/>
        </w:rPr>
        <w:t xml:space="preserve"> </w:t>
      </w:r>
      <w:r>
        <w:rPr>
          <w:rFonts w:ascii="Arial" w:hAnsi="Arial"/>
          <w:sz w:val="20"/>
        </w:rPr>
        <w:t>34(10):47</w:t>
      </w:r>
      <w:r>
        <w:rPr>
          <w:rFonts w:ascii="Cambria Math" w:hAnsi="Cambria Math"/>
          <w:sz w:val="20"/>
        </w:rPr>
        <w:t>‐</w:t>
      </w:r>
      <w:r>
        <w:rPr>
          <w:rFonts w:ascii="Arial" w:hAnsi="Arial"/>
          <w:sz w:val="20"/>
        </w:rPr>
        <w:t>52.</w:t>
      </w:r>
    </w:p>
    <w:p w14:paraId="1364A063" w14:textId="77777777" w:rsidR="001C0AA4" w:rsidRDefault="003078FD">
      <w:pPr>
        <w:pStyle w:val="ListParagraph"/>
        <w:numPr>
          <w:ilvl w:val="0"/>
          <w:numId w:val="1"/>
        </w:numPr>
        <w:tabs>
          <w:tab w:val="left" w:pos="397"/>
        </w:tabs>
        <w:spacing w:line="224" w:lineRule="exact"/>
        <w:ind w:left="396" w:hanging="276"/>
        <w:rPr>
          <w:rFonts w:ascii="Arial"/>
          <w:sz w:val="20"/>
        </w:rPr>
      </w:pPr>
      <w:hyperlink r:id="rId7">
        <w:r>
          <w:rPr>
            <w:rFonts w:ascii="Arial"/>
            <w:color w:val="0000FF"/>
            <w:sz w:val="20"/>
            <w:u w:val="single" w:color="0000FF"/>
          </w:rPr>
          <w:t>http://www.upenn.edu/regulatoryaffairs/Documents/iacucguideline-tribromoethanoluseinmiceandrats.pdf</w:t>
        </w:r>
      </w:hyperlink>
    </w:p>
    <w:p w14:paraId="1669AC24" w14:textId="77777777" w:rsidR="001C0AA4" w:rsidRDefault="003078FD">
      <w:pPr>
        <w:pStyle w:val="ListParagraph"/>
        <w:numPr>
          <w:ilvl w:val="0"/>
          <w:numId w:val="1"/>
        </w:numPr>
        <w:tabs>
          <w:tab w:val="left" w:pos="341"/>
        </w:tabs>
        <w:ind w:right="393" w:firstLine="0"/>
        <w:rPr>
          <w:rFonts w:ascii="Arial" w:hAnsi="Arial"/>
          <w:sz w:val="20"/>
        </w:rPr>
      </w:pPr>
      <w:r>
        <w:rPr>
          <w:rFonts w:ascii="Arial" w:hAnsi="Arial"/>
          <w:sz w:val="20"/>
        </w:rPr>
        <w:t xml:space="preserve">Lieggi CC et al. “Efficacy and safety of stored and newly prepared Tribromoethanol in ICR mice.” </w:t>
      </w:r>
      <w:proofErr w:type="spellStart"/>
      <w:r>
        <w:rPr>
          <w:rFonts w:ascii="Arial" w:hAnsi="Arial"/>
          <w:sz w:val="20"/>
        </w:rPr>
        <w:t>Contemp</w:t>
      </w:r>
      <w:proofErr w:type="spellEnd"/>
      <w:r>
        <w:rPr>
          <w:rFonts w:ascii="Arial" w:hAnsi="Arial"/>
          <w:sz w:val="20"/>
        </w:rPr>
        <w:t xml:space="preserve"> Top Lab Anim </w:t>
      </w:r>
      <w:proofErr w:type="gramStart"/>
      <w:r>
        <w:rPr>
          <w:rFonts w:ascii="Arial" w:hAnsi="Arial"/>
          <w:sz w:val="20"/>
        </w:rPr>
        <w:t>Sci  2005</w:t>
      </w:r>
      <w:proofErr w:type="gramEnd"/>
      <w:r>
        <w:rPr>
          <w:rFonts w:ascii="Arial" w:hAnsi="Arial"/>
          <w:sz w:val="20"/>
        </w:rPr>
        <w:t xml:space="preserve">  44(10):</w:t>
      </w:r>
      <w:r>
        <w:rPr>
          <w:rFonts w:ascii="Arial" w:hAnsi="Arial"/>
          <w:spacing w:val="-14"/>
          <w:sz w:val="20"/>
        </w:rPr>
        <w:t xml:space="preserve"> </w:t>
      </w:r>
      <w:r>
        <w:rPr>
          <w:rFonts w:ascii="Arial" w:hAnsi="Arial"/>
          <w:sz w:val="20"/>
        </w:rPr>
        <w:t>17-22.</w:t>
      </w:r>
    </w:p>
    <w:p w14:paraId="6EFDA110" w14:textId="77777777" w:rsidR="001C0AA4" w:rsidRDefault="003078FD">
      <w:pPr>
        <w:pStyle w:val="ListParagraph"/>
        <w:numPr>
          <w:ilvl w:val="0"/>
          <w:numId w:val="1"/>
        </w:numPr>
        <w:tabs>
          <w:tab w:val="left" w:pos="341"/>
        </w:tabs>
        <w:ind w:right="264" w:firstLine="0"/>
        <w:rPr>
          <w:rFonts w:ascii="Arial" w:hAnsi="Arial"/>
          <w:sz w:val="20"/>
        </w:rPr>
      </w:pPr>
      <w:r>
        <w:rPr>
          <w:rFonts w:ascii="Arial" w:hAnsi="Arial"/>
          <w:sz w:val="20"/>
        </w:rPr>
        <w:t xml:space="preserve">Lieggi CC et al. “An evaluation of preparation methods and storage conditions of tribromoethanol.” </w:t>
      </w:r>
      <w:proofErr w:type="spellStart"/>
      <w:r>
        <w:rPr>
          <w:rFonts w:ascii="Arial" w:hAnsi="Arial"/>
          <w:sz w:val="20"/>
        </w:rPr>
        <w:t>Contemp</w:t>
      </w:r>
      <w:proofErr w:type="spellEnd"/>
      <w:r>
        <w:rPr>
          <w:rFonts w:ascii="Arial" w:hAnsi="Arial"/>
          <w:sz w:val="20"/>
        </w:rPr>
        <w:t xml:space="preserve"> Top Lab Anim </w:t>
      </w:r>
      <w:proofErr w:type="gramStart"/>
      <w:r>
        <w:rPr>
          <w:rFonts w:ascii="Arial" w:hAnsi="Arial"/>
          <w:sz w:val="20"/>
        </w:rPr>
        <w:t>Sci  2005</w:t>
      </w:r>
      <w:proofErr w:type="gramEnd"/>
      <w:r>
        <w:rPr>
          <w:rFonts w:ascii="Arial" w:hAnsi="Arial"/>
          <w:sz w:val="20"/>
        </w:rPr>
        <w:t xml:space="preserve">  44(10):</w:t>
      </w:r>
      <w:r>
        <w:rPr>
          <w:rFonts w:ascii="Arial" w:hAnsi="Arial"/>
          <w:spacing w:val="-14"/>
          <w:sz w:val="20"/>
        </w:rPr>
        <w:t xml:space="preserve"> </w:t>
      </w:r>
      <w:r>
        <w:rPr>
          <w:rFonts w:ascii="Arial" w:hAnsi="Arial"/>
          <w:sz w:val="20"/>
        </w:rPr>
        <w:t>11-16.</w:t>
      </w:r>
    </w:p>
    <w:p w14:paraId="1318E7AA" w14:textId="77777777" w:rsidR="001C0AA4" w:rsidRDefault="003078FD">
      <w:pPr>
        <w:pStyle w:val="ListParagraph"/>
        <w:numPr>
          <w:ilvl w:val="0"/>
          <w:numId w:val="1"/>
        </w:numPr>
        <w:tabs>
          <w:tab w:val="left" w:pos="342"/>
        </w:tabs>
        <w:ind w:right="973" w:firstLine="0"/>
        <w:rPr>
          <w:rFonts w:ascii="Arial" w:hAnsi="Arial"/>
          <w:sz w:val="20"/>
        </w:rPr>
      </w:pPr>
      <w:r>
        <w:rPr>
          <w:rFonts w:ascii="Arial" w:hAnsi="Arial"/>
          <w:sz w:val="20"/>
        </w:rPr>
        <w:t xml:space="preserve">Hill </w:t>
      </w:r>
      <w:r>
        <w:rPr>
          <w:rFonts w:ascii="Arial" w:hAnsi="Arial"/>
          <w:spacing w:val="3"/>
          <w:sz w:val="20"/>
        </w:rPr>
        <w:t xml:space="preserve">WA, </w:t>
      </w:r>
      <w:r>
        <w:rPr>
          <w:rFonts w:ascii="Arial" w:hAnsi="Arial"/>
          <w:sz w:val="20"/>
        </w:rPr>
        <w:t xml:space="preserve">Tubbs JT, Carter, CL, </w:t>
      </w:r>
      <w:proofErr w:type="spellStart"/>
      <w:r>
        <w:rPr>
          <w:rFonts w:ascii="Arial" w:hAnsi="Arial"/>
          <w:sz w:val="20"/>
        </w:rPr>
        <w:t>Czarra</w:t>
      </w:r>
      <w:proofErr w:type="spellEnd"/>
      <w:r>
        <w:rPr>
          <w:rFonts w:ascii="Arial" w:hAnsi="Arial"/>
          <w:sz w:val="20"/>
        </w:rPr>
        <w:t>, JA, Newkirk, KM, Sparer, TE, Rohrbach, B and Egger, CM. “Repeated Administration of Tribromoethanol in C57BL/6NHsd Mice.” JAALAS 2013</w:t>
      </w:r>
      <w:r>
        <w:rPr>
          <w:rFonts w:ascii="Arial" w:hAnsi="Arial"/>
          <w:spacing w:val="-35"/>
          <w:sz w:val="20"/>
        </w:rPr>
        <w:t xml:space="preserve"> </w:t>
      </w:r>
      <w:r>
        <w:rPr>
          <w:rFonts w:ascii="Arial" w:hAnsi="Arial"/>
          <w:sz w:val="20"/>
        </w:rPr>
        <w:t>53(2):176-179.</w:t>
      </w:r>
    </w:p>
    <w:p w14:paraId="3D7C1A2F" w14:textId="77777777" w:rsidR="001C0AA4" w:rsidRDefault="003078FD">
      <w:pPr>
        <w:pStyle w:val="ListParagraph"/>
        <w:numPr>
          <w:ilvl w:val="0"/>
          <w:numId w:val="1"/>
        </w:numPr>
        <w:tabs>
          <w:tab w:val="left" w:pos="341"/>
        </w:tabs>
        <w:spacing w:line="242" w:lineRule="auto"/>
        <w:ind w:right="404" w:firstLine="0"/>
        <w:rPr>
          <w:rFonts w:ascii="Arial"/>
          <w:sz w:val="20"/>
        </w:rPr>
      </w:pPr>
      <w:r>
        <w:rPr>
          <w:rFonts w:ascii="Arial"/>
          <w:color w:val="676767"/>
          <w:sz w:val="20"/>
          <w:shd w:val="clear" w:color="auto" w:fill="F3F1EB"/>
        </w:rPr>
        <w:t>National</w:t>
      </w:r>
      <w:r>
        <w:rPr>
          <w:rFonts w:ascii="Arial"/>
          <w:color w:val="676767"/>
          <w:spacing w:val="-2"/>
          <w:sz w:val="20"/>
          <w:shd w:val="clear" w:color="auto" w:fill="F3F1EB"/>
        </w:rPr>
        <w:t xml:space="preserve"> </w:t>
      </w:r>
      <w:r>
        <w:rPr>
          <w:rFonts w:ascii="Arial"/>
          <w:color w:val="676767"/>
          <w:sz w:val="20"/>
          <w:shd w:val="clear" w:color="auto" w:fill="F3F1EB"/>
        </w:rPr>
        <w:t>Research</w:t>
      </w:r>
      <w:r>
        <w:rPr>
          <w:rFonts w:ascii="Arial"/>
          <w:color w:val="676767"/>
          <w:spacing w:val="-2"/>
          <w:sz w:val="20"/>
          <w:shd w:val="clear" w:color="auto" w:fill="F3F1EB"/>
        </w:rPr>
        <w:t xml:space="preserve"> </w:t>
      </w:r>
      <w:r>
        <w:rPr>
          <w:rFonts w:ascii="Arial"/>
          <w:color w:val="676767"/>
          <w:sz w:val="20"/>
          <w:shd w:val="clear" w:color="auto" w:fill="F3F1EB"/>
        </w:rPr>
        <w:t>Council.</w:t>
      </w:r>
      <w:r>
        <w:rPr>
          <w:rFonts w:ascii="Arial"/>
          <w:color w:val="676767"/>
          <w:spacing w:val="-4"/>
          <w:sz w:val="20"/>
          <w:shd w:val="clear" w:color="auto" w:fill="F3F1EB"/>
        </w:rPr>
        <w:t xml:space="preserve"> </w:t>
      </w:r>
      <w:r>
        <w:rPr>
          <w:rFonts w:ascii="Arial"/>
          <w:i/>
          <w:color w:val="676767"/>
          <w:sz w:val="20"/>
          <w:shd w:val="clear" w:color="auto" w:fill="F3F1EB"/>
        </w:rPr>
        <w:t>Guide</w:t>
      </w:r>
      <w:r>
        <w:rPr>
          <w:rFonts w:ascii="Arial"/>
          <w:i/>
          <w:color w:val="676767"/>
          <w:spacing w:val="-2"/>
          <w:sz w:val="20"/>
          <w:shd w:val="clear" w:color="auto" w:fill="F3F1EB"/>
        </w:rPr>
        <w:t xml:space="preserve"> </w:t>
      </w:r>
      <w:r>
        <w:rPr>
          <w:rFonts w:ascii="Arial"/>
          <w:i/>
          <w:color w:val="676767"/>
          <w:sz w:val="20"/>
          <w:shd w:val="clear" w:color="auto" w:fill="F3F1EB"/>
        </w:rPr>
        <w:t>for</w:t>
      </w:r>
      <w:r>
        <w:rPr>
          <w:rFonts w:ascii="Arial"/>
          <w:i/>
          <w:color w:val="676767"/>
          <w:spacing w:val="-3"/>
          <w:sz w:val="20"/>
          <w:shd w:val="clear" w:color="auto" w:fill="F3F1EB"/>
        </w:rPr>
        <w:t xml:space="preserve"> </w:t>
      </w:r>
      <w:r>
        <w:rPr>
          <w:rFonts w:ascii="Arial"/>
          <w:i/>
          <w:color w:val="676767"/>
          <w:sz w:val="20"/>
          <w:shd w:val="clear" w:color="auto" w:fill="F3F1EB"/>
        </w:rPr>
        <w:t>the</w:t>
      </w:r>
      <w:r>
        <w:rPr>
          <w:rFonts w:ascii="Arial"/>
          <w:i/>
          <w:color w:val="676767"/>
          <w:spacing w:val="-4"/>
          <w:sz w:val="20"/>
          <w:shd w:val="clear" w:color="auto" w:fill="F3F1EB"/>
        </w:rPr>
        <w:t xml:space="preserve"> </w:t>
      </w:r>
      <w:r>
        <w:rPr>
          <w:rFonts w:ascii="Arial"/>
          <w:i/>
          <w:color w:val="676767"/>
          <w:sz w:val="20"/>
          <w:shd w:val="clear" w:color="auto" w:fill="F3F1EB"/>
        </w:rPr>
        <w:t>Care</w:t>
      </w:r>
      <w:r>
        <w:rPr>
          <w:rFonts w:ascii="Arial"/>
          <w:i/>
          <w:color w:val="676767"/>
          <w:spacing w:val="-4"/>
          <w:sz w:val="20"/>
          <w:shd w:val="clear" w:color="auto" w:fill="F3F1EB"/>
        </w:rPr>
        <w:t xml:space="preserve"> </w:t>
      </w:r>
      <w:r>
        <w:rPr>
          <w:rFonts w:ascii="Arial"/>
          <w:i/>
          <w:color w:val="676767"/>
          <w:sz w:val="20"/>
          <w:shd w:val="clear" w:color="auto" w:fill="F3F1EB"/>
        </w:rPr>
        <w:t>and</w:t>
      </w:r>
      <w:r>
        <w:rPr>
          <w:rFonts w:ascii="Arial"/>
          <w:i/>
          <w:color w:val="676767"/>
          <w:spacing w:val="-2"/>
          <w:sz w:val="20"/>
          <w:shd w:val="clear" w:color="auto" w:fill="F3F1EB"/>
        </w:rPr>
        <w:t xml:space="preserve"> </w:t>
      </w:r>
      <w:r>
        <w:rPr>
          <w:rFonts w:ascii="Arial"/>
          <w:i/>
          <w:color w:val="676767"/>
          <w:sz w:val="20"/>
          <w:shd w:val="clear" w:color="auto" w:fill="F3F1EB"/>
        </w:rPr>
        <w:t>Use</w:t>
      </w:r>
      <w:r>
        <w:rPr>
          <w:rFonts w:ascii="Arial"/>
          <w:i/>
          <w:color w:val="676767"/>
          <w:spacing w:val="-4"/>
          <w:sz w:val="20"/>
          <w:shd w:val="clear" w:color="auto" w:fill="F3F1EB"/>
        </w:rPr>
        <w:t xml:space="preserve"> </w:t>
      </w:r>
      <w:r>
        <w:rPr>
          <w:rFonts w:ascii="Arial"/>
          <w:i/>
          <w:color w:val="676767"/>
          <w:sz w:val="20"/>
          <w:shd w:val="clear" w:color="auto" w:fill="F3F1EB"/>
        </w:rPr>
        <w:t>of</w:t>
      </w:r>
      <w:r>
        <w:rPr>
          <w:rFonts w:ascii="Arial"/>
          <w:i/>
          <w:color w:val="676767"/>
          <w:spacing w:val="-4"/>
          <w:sz w:val="20"/>
          <w:shd w:val="clear" w:color="auto" w:fill="F3F1EB"/>
        </w:rPr>
        <w:t xml:space="preserve"> </w:t>
      </w:r>
      <w:r>
        <w:rPr>
          <w:rFonts w:ascii="Arial"/>
          <w:i/>
          <w:color w:val="676767"/>
          <w:sz w:val="20"/>
          <w:shd w:val="clear" w:color="auto" w:fill="F3F1EB"/>
        </w:rPr>
        <w:t>Laboratory</w:t>
      </w:r>
      <w:r>
        <w:rPr>
          <w:rFonts w:ascii="Arial"/>
          <w:i/>
          <w:color w:val="676767"/>
          <w:spacing w:val="-3"/>
          <w:sz w:val="20"/>
          <w:shd w:val="clear" w:color="auto" w:fill="F3F1EB"/>
        </w:rPr>
        <w:t xml:space="preserve"> </w:t>
      </w:r>
      <w:r>
        <w:rPr>
          <w:rFonts w:ascii="Arial"/>
          <w:i/>
          <w:color w:val="676767"/>
          <w:sz w:val="20"/>
          <w:shd w:val="clear" w:color="auto" w:fill="F3F1EB"/>
        </w:rPr>
        <w:t>Animals:</w:t>
      </w:r>
      <w:r>
        <w:rPr>
          <w:rFonts w:ascii="Arial"/>
          <w:i/>
          <w:color w:val="676767"/>
          <w:spacing w:val="-2"/>
          <w:sz w:val="20"/>
          <w:shd w:val="clear" w:color="auto" w:fill="F3F1EB"/>
        </w:rPr>
        <w:t xml:space="preserve"> </w:t>
      </w:r>
      <w:r>
        <w:rPr>
          <w:rFonts w:ascii="Arial"/>
          <w:i/>
          <w:color w:val="676767"/>
          <w:sz w:val="20"/>
          <w:shd w:val="clear" w:color="auto" w:fill="F3F1EB"/>
        </w:rPr>
        <w:t>Eighth</w:t>
      </w:r>
      <w:r>
        <w:rPr>
          <w:rFonts w:ascii="Arial"/>
          <w:i/>
          <w:color w:val="676767"/>
          <w:spacing w:val="-2"/>
          <w:sz w:val="20"/>
          <w:shd w:val="clear" w:color="auto" w:fill="F3F1EB"/>
        </w:rPr>
        <w:t xml:space="preserve"> </w:t>
      </w:r>
      <w:r>
        <w:rPr>
          <w:rFonts w:ascii="Arial"/>
          <w:i/>
          <w:color w:val="676767"/>
          <w:sz w:val="20"/>
          <w:shd w:val="clear" w:color="auto" w:fill="F3F1EB"/>
        </w:rPr>
        <w:t>Edition</w:t>
      </w:r>
      <w:r>
        <w:rPr>
          <w:rFonts w:ascii="Arial"/>
          <w:color w:val="676767"/>
          <w:sz w:val="20"/>
          <w:shd w:val="clear" w:color="auto" w:fill="F3F1EB"/>
        </w:rPr>
        <w:t>.</w:t>
      </w:r>
      <w:r>
        <w:rPr>
          <w:rFonts w:ascii="Arial"/>
          <w:color w:val="676767"/>
          <w:spacing w:val="-8"/>
          <w:sz w:val="20"/>
          <w:shd w:val="clear" w:color="auto" w:fill="F3F1EB"/>
        </w:rPr>
        <w:t xml:space="preserve"> </w:t>
      </w:r>
      <w:r>
        <w:rPr>
          <w:rFonts w:ascii="Arial"/>
          <w:color w:val="676767"/>
          <w:sz w:val="20"/>
          <w:shd w:val="clear" w:color="auto" w:fill="F3F1EB"/>
        </w:rPr>
        <w:t>Washington,</w:t>
      </w:r>
      <w:r>
        <w:rPr>
          <w:rFonts w:ascii="Arial"/>
          <w:color w:val="676767"/>
          <w:spacing w:val="-4"/>
          <w:sz w:val="20"/>
          <w:shd w:val="clear" w:color="auto" w:fill="F3F1EB"/>
        </w:rPr>
        <w:t xml:space="preserve"> </w:t>
      </w:r>
      <w:r>
        <w:rPr>
          <w:rFonts w:ascii="Arial"/>
          <w:color w:val="676767"/>
          <w:sz w:val="20"/>
          <w:shd w:val="clear" w:color="auto" w:fill="F3F1EB"/>
        </w:rPr>
        <w:t>DC:</w:t>
      </w:r>
      <w:r>
        <w:rPr>
          <w:rFonts w:ascii="Arial"/>
          <w:color w:val="676767"/>
          <w:spacing w:val="-4"/>
          <w:sz w:val="20"/>
          <w:shd w:val="clear" w:color="auto" w:fill="F3F1EB"/>
        </w:rPr>
        <w:t xml:space="preserve"> </w:t>
      </w:r>
      <w:r>
        <w:rPr>
          <w:rFonts w:ascii="Arial"/>
          <w:color w:val="676767"/>
          <w:sz w:val="20"/>
          <w:shd w:val="clear" w:color="auto" w:fill="F3F1EB"/>
        </w:rPr>
        <w:t>The National Academies Press,</w:t>
      </w:r>
      <w:r>
        <w:rPr>
          <w:rFonts w:ascii="Arial"/>
          <w:color w:val="676767"/>
          <w:spacing w:val="-12"/>
          <w:sz w:val="20"/>
          <w:shd w:val="clear" w:color="auto" w:fill="F3F1EB"/>
        </w:rPr>
        <w:t xml:space="preserve"> </w:t>
      </w:r>
      <w:r>
        <w:rPr>
          <w:rFonts w:ascii="Arial"/>
          <w:color w:val="676767"/>
          <w:sz w:val="20"/>
          <w:shd w:val="clear" w:color="auto" w:fill="F3F1EB"/>
        </w:rPr>
        <w:t>2011</w:t>
      </w:r>
    </w:p>
    <w:p w14:paraId="5D05441B" w14:textId="77777777" w:rsidR="001C0AA4" w:rsidRDefault="003078FD">
      <w:pPr>
        <w:pStyle w:val="ListParagraph"/>
        <w:numPr>
          <w:ilvl w:val="0"/>
          <w:numId w:val="1"/>
        </w:numPr>
        <w:tabs>
          <w:tab w:val="left" w:pos="396"/>
        </w:tabs>
        <w:spacing w:line="228" w:lineRule="exact"/>
        <w:ind w:left="395" w:hanging="275"/>
        <w:rPr>
          <w:rFonts w:ascii="Arial"/>
          <w:color w:val="676767"/>
          <w:sz w:val="20"/>
        </w:rPr>
      </w:pPr>
      <w:hyperlink r:id="rId8">
        <w:r>
          <w:rPr>
            <w:rFonts w:ascii="Arial"/>
            <w:color w:val="676767"/>
            <w:sz w:val="20"/>
            <w:shd w:val="clear" w:color="auto" w:fill="F3F1EB"/>
          </w:rPr>
          <w:t>http://grants.nih.gov/grants/olaw/120301_NPG_slides.pdf</w:t>
        </w:r>
      </w:hyperlink>
    </w:p>
    <w:sectPr w:rsidR="001C0AA4">
      <w:footerReference w:type="default" r:id="rId9"/>
      <w:pgSz w:w="12240" w:h="15840"/>
      <w:pgMar w:top="680" w:right="600" w:bottom="980" w:left="600" w:header="0"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FCCE7" w14:textId="77777777" w:rsidR="00151FDE" w:rsidRDefault="00151FDE">
      <w:r>
        <w:separator/>
      </w:r>
    </w:p>
  </w:endnote>
  <w:endnote w:type="continuationSeparator" w:id="0">
    <w:p w14:paraId="73CFECD4" w14:textId="77777777" w:rsidR="00151FDE" w:rsidRDefault="00151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0B5B8" w14:textId="77777777" w:rsidR="001C0AA4" w:rsidRDefault="0004571A">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DFF3491" wp14:editId="42908E78">
              <wp:simplePos x="0" y="0"/>
              <wp:positionH relativeFrom="page">
                <wp:posOffset>7205980</wp:posOffset>
              </wp:positionH>
              <wp:positionV relativeFrom="page">
                <wp:posOffset>9414510</wp:posOffset>
              </wp:positionV>
              <wp:extent cx="135255" cy="204470"/>
              <wp:effectExtent l="0" t="3810" r="254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66BBC" w14:textId="0A5B0AAA" w:rsidR="001C0AA4" w:rsidRDefault="003078FD">
                          <w:pPr>
                            <w:pStyle w:val="BodyText"/>
                            <w:spacing w:before="20"/>
                            <w:ind w:left="40"/>
                            <w:rPr>
                              <w:rFonts w:ascii="Cambria"/>
                            </w:rPr>
                          </w:pPr>
                          <w:r>
                            <w:fldChar w:fldCharType="begin"/>
                          </w:r>
                          <w:r>
                            <w:rPr>
                              <w:rFonts w:ascii="Cambria"/>
                            </w:rPr>
                            <w:instrText xml:space="preserve"> PAGE </w:instrText>
                          </w:r>
                          <w:r>
                            <w:fldChar w:fldCharType="separate"/>
                          </w:r>
                          <w:r w:rsidR="00B619B2">
                            <w:rPr>
                              <w:rFonts w:ascii="Cambria"/>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FF3491" id="_x0000_t202" coordsize="21600,21600" o:spt="202" path="m,l,21600r21600,l21600,xe">
              <v:stroke joinstyle="miter"/>
              <v:path gradientshapeok="t" o:connecttype="rect"/>
            </v:shapetype>
            <v:shape id="Text Box 1" o:spid="_x0000_s1026" type="#_x0000_t202" style="position:absolute;margin-left:567.4pt;margin-top:741.3pt;width:10.65pt;height:16.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" filled="f" stroked="f">
              <v:textbox inset="0,0,0,0">
                <w:txbxContent>
                  <w:p w14:paraId="3EB66BBC" w14:textId="0A5B0AAA" w:rsidR="001C0AA4" w:rsidRDefault="003078FD">
                    <w:pPr>
                      <w:pStyle w:val="BodyText"/>
                      <w:spacing w:before="20"/>
                      <w:ind w:left="40"/>
                      <w:rPr>
                        <w:rFonts w:ascii="Cambria"/>
                      </w:rPr>
                    </w:pPr>
                    <w:r>
                      <w:fldChar w:fldCharType="begin"/>
                    </w:r>
                    <w:r>
                      <w:rPr>
                        <w:rFonts w:ascii="Cambria"/>
                      </w:rPr>
                      <w:instrText xml:space="preserve"> PAGE </w:instrText>
                    </w:r>
                    <w:r>
                      <w:fldChar w:fldCharType="separate"/>
                    </w:r>
                    <w:r w:rsidR="00B619B2">
                      <w:rPr>
                        <w:rFonts w:ascii="Cambria"/>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4B93B" w14:textId="77777777" w:rsidR="00151FDE" w:rsidRDefault="00151FDE">
      <w:r>
        <w:separator/>
      </w:r>
    </w:p>
  </w:footnote>
  <w:footnote w:type="continuationSeparator" w:id="0">
    <w:p w14:paraId="7AD62EE4" w14:textId="77777777" w:rsidR="00151FDE" w:rsidRDefault="00151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22E02"/>
    <w:multiLevelType w:val="hybridMultilevel"/>
    <w:tmpl w:val="A3546F86"/>
    <w:lvl w:ilvl="0" w:tplc="D0C47372">
      <w:start w:val="1"/>
      <w:numFmt w:val="decimal"/>
      <w:lvlText w:val="%1."/>
      <w:lvlJc w:val="left"/>
      <w:pPr>
        <w:ind w:left="120" w:hanging="221"/>
        <w:jc w:val="left"/>
      </w:pPr>
      <w:rPr>
        <w:rFonts w:hint="default"/>
        <w:spacing w:val="-1"/>
        <w:w w:val="99"/>
      </w:rPr>
    </w:lvl>
    <w:lvl w:ilvl="1" w:tplc="43324D70">
      <w:numFmt w:val="bullet"/>
      <w:lvlText w:val="•"/>
      <w:lvlJc w:val="left"/>
      <w:pPr>
        <w:ind w:left="1212" w:hanging="221"/>
      </w:pPr>
      <w:rPr>
        <w:rFonts w:hint="default"/>
      </w:rPr>
    </w:lvl>
    <w:lvl w:ilvl="2" w:tplc="36E2D990">
      <w:numFmt w:val="bullet"/>
      <w:lvlText w:val="•"/>
      <w:lvlJc w:val="left"/>
      <w:pPr>
        <w:ind w:left="2304" w:hanging="221"/>
      </w:pPr>
      <w:rPr>
        <w:rFonts w:hint="default"/>
      </w:rPr>
    </w:lvl>
    <w:lvl w:ilvl="3" w:tplc="22EC07EE">
      <w:numFmt w:val="bullet"/>
      <w:lvlText w:val="•"/>
      <w:lvlJc w:val="left"/>
      <w:pPr>
        <w:ind w:left="3396" w:hanging="221"/>
      </w:pPr>
      <w:rPr>
        <w:rFonts w:hint="default"/>
      </w:rPr>
    </w:lvl>
    <w:lvl w:ilvl="4" w:tplc="7C904246">
      <w:numFmt w:val="bullet"/>
      <w:lvlText w:val="•"/>
      <w:lvlJc w:val="left"/>
      <w:pPr>
        <w:ind w:left="4488" w:hanging="221"/>
      </w:pPr>
      <w:rPr>
        <w:rFonts w:hint="default"/>
      </w:rPr>
    </w:lvl>
    <w:lvl w:ilvl="5" w:tplc="FDBE08AC">
      <w:numFmt w:val="bullet"/>
      <w:lvlText w:val="•"/>
      <w:lvlJc w:val="left"/>
      <w:pPr>
        <w:ind w:left="5580" w:hanging="221"/>
      </w:pPr>
      <w:rPr>
        <w:rFonts w:hint="default"/>
      </w:rPr>
    </w:lvl>
    <w:lvl w:ilvl="6" w:tplc="17625654">
      <w:numFmt w:val="bullet"/>
      <w:lvlText w:val="•"/>
      <w:lvlJc w:val="left"/>
      <w:pPr>
        <w:ind w:left="6672" w:hanging="221"/>
      </w:pPr>
      <w:rPr>
        <w:rFonts w:hint="default"/>
      </w:rPr>
    </w:lvl>
    <w:lvl w:ilvl="7" w:tplc="40B0F9D0">
      <w:numFmt w:val="bullet"/>
      <w:lvlText w:val="•"/>
      <w:lvlJc w:val="left"/>
      <w:pPr>
        <w:ind w:left="7764" w:hanging="221"/>
      </w:pPr>
      <w:rPr>
        <w:rFonts w:hint="default"/>
      </w:rPr>
    </w:lvl>
    <w:lvl w:ilvl="8" w:tplc="6BD43DD4">
      <w:numFmt w:val="bullet"/>
      <w:lvlText w:val="•"/>
      <w:lvlJc w:val="left"/>
      <w:pPr>
        <w:ind w:left="8856" w:hanging="221"/>
      </w:pPr>
      <w:rPr>
        <w:rFonts w:hint="default"/>
      </w:rPr>
    </w:lvl>
  </w:abstractNum>
  <w:abstractNum w:abstractNumId="1" w15:restartNumberingAfterBreak="0">
    <w:nsid w:val="22FE2AA3"/>
    <w:multiLevelType w:val="hybridMultilevel"/>
    <w:tmpl w:val="B0DEB8DA"/>
    <w:lvl w:ilvl="0" w:tplc="09880560">
      <w:start w:val="1"/>
      <w:numFmt w:val="decimal"/>
      <w:lvlText w:val="%1."/>
      <w:lvlJc w:val="left"/>
      <w:pPr>
        <w:ind w:left="560" w:hanging="452"/>
        <w:jc w:val="left"/>
      </w:pPr>
      <w:rPr>
        <w:rFonts w:ascii="Times New Roman" w:eastAsia="Times New Roman" w:hAnsi="Times New Roman" w:cs="Times New Roman" w:hint="default"/>
        <w:spacing w:val="-4"/>
        <w:w w:val="100"/>
        <w:sz w:val="24"/>
        <w:szCs w:val="24"/>
      </w:rPr>
    </w:lvl>
    <w:lvl w:ilvl="1" w:tplc="AAEC8D18">
      <w:numFmt w:val="bullet"/>
      <w:lvlText w:val="•"/>
      <w:lvlJc w:val="left"/>
      <w:pPr>
        <w:ind w:left="1616" w:hanging="452"/>
      </w:pPr>
      <w:rPr>
        <w:rFonts w:hint="default"/>
      </w:rPr>
    </w:lvl>
    <w:lvl w:ilvl="2" w:tplc="580AF552">
      <w:numFmt w:val="bullet"/>
      <w:lvlText w:val="•"/>
      <w:lvlJc w:val="left"/>
      <w:pPr>
        <w:ind w:left="2672" w:hanging="452"/>
      </w:pPr>
      <w:rPr>
        <w:rFonts w:hint="default"/>
      </w:rPr>
    </w:lvl>
    <w:lvl w:ilvl="3" w:tplc="05CEF57C">
      <w:numFmt w:val="bullet"/>
      <w:lvlText w:val="•"/>
      <w:lvlJc w:val="left"/>
      <w:pPr>
        <w:ind w:left="3728" w:hanging="452"/>
      </w:pPr>
      <w:rPr>
        <w:rFonts w:hint="default"/>
      </w:rPr>
    </w:lvl>
    <w:lvl w:ilvl="4" w:tplc="5E4AC6F4">
      <w:numFmt w:val="bullet"/>
      <w:lvlText w:val="•"/>
      <w:lvlJc w:val="left"/>
      <w:pPr>
        <w:ind w:left="4784" w:hanging="452"/>
      </w:pPr>
      <w:rPr>
        <w:rFonts w:hint="default"/>
      </w:rPr>
    </w:lvl>
    <w:lvl w:ilvl="5" w:tplc="25907ADE">
      <w:numFmt w:val="bullet"/>
      <w:lvlText w:val="•"/>
      <w:lvlJc w:val="left"/>
      <w:pPr>
        <w:ind w:left="5840" w:hanging="452"/>
      </w:pPr>
      <w:rPr>
        <w:rFonts w:hint="default"/>
      </w:rPr>
    </w:lvl>
    <w:lvl w:ilvl="6" w:tplc="3CE81762">
      <w:numFmt w:val="bullet"/>
      <w:lvlText w:val="•"/>
      <w:lvlJc w:val="left"/>
      <w:pPr>
        <w:ind w:left="6896" w:hanging="452"/>
      </w:pPr>
      <w:rPr>
        <w:rFonts w:hint="default"/>
      </w:rPr>
    </w:lvl>
    <w:lvl w:ilvl="7" w:tplc="692066B6">
      <w:numFmt w:val="bullet"/>
      <w:lvlText w:val="•"/>
      <w:lvlJc w:val="left"/>
      <w:pPr>
        <w:ind w:left="7952" w:hanging="452"/>
      </w:pPr>
      <w:rPr>
        <w:rFonts w:hint="default"/>
      </w:rPr>
    </w:lvl>
    <w:lvl w:ilvl="8" w:tplc="C3A65A48">
      <w:numFmt w:val="bullet"/>
      <w:lvlText w:val="•"/>
      <w:lvlJc w:val="left"/>
      <w:pPr>
        <w:ind w:left="9008" w:hanging="452"/>
      </w:pPr>
      <w:rPr>
        <w:rFonts w:hint="default"/>
      </w:rPr>
    </w:lvl>
  </w:abstractNum>
  <w:abstractNum w:abstractNumId="2" w15:restartNumberingAfterBreak="0">
    <w:nsid w:val="2C4876F6"/>
    <w:multiLevelType w:val="hybridMultilevel"/>
    <w:tmpl w:val="FF564780"/>
    <w:lvl w:ilvl="0" w:tplc="8D5C77D8">
      <w:numFmt w:val="bullet"/>
      <w:lvlText w:val=""/>
      <w:lvlJc w:val="left"/>
      <w:pPr>
        <w:ind w:left="1560" w:hanging="360"/>
      </w:pPr>
      <w:rPr>
        <w:rFonts w:ascii="Wingdings" w:eastAsia="Wingdings" w:hAnsi="Wingdings" w:cs="Wingdings" w:hint="default"/>
        <w:w w:val="99"/>
        <w:sz w:val="24"/>
        <w:szCs w:val="24"/>
      </w:rPr>
    </w:lvl>
    <w:lvl w:ilvl="1" w:tplc="0A8883E0">
      <w:numFmt w:val="bullet"/>
      <w:lvlText w:val="o"/>
      <w:lvlJc w:val="left"/>
      <w:pPr>
        <w:ind w:left="2280" w:hanging="360"/>
      </w:pPr>
      <w:rPr>
        <w:rFonts w:ascii="Courier New" w:eastAsia="Courier New" w:hAnsi="Courier New" w:cs="Courier New" w:hint="default"/>
        <w:w w:val="99"/>
        <w:sz w:val="24"/>
        <w:szCs w:val="24"/>
      </w:rPr>
    </w:lvl>
    <w:lvl w:ilvl="2" w:tplc="9FEEF180">
      <w:numFmt w:val="bullet"/>
      <w:lvlText w:val="•"/>
      <w:lvlJc w:val="left"/>
      <w:pPr>
        <w:ind w:left="2360" w:hanging="360"/>
      </w:pPr>
      <w:rPr>
        <w:rFonts w:hint="default"/>
      </w:rPr>
    </w:lvl>
    <w:lvl w:ilvl="3" w:tplc="4F42E80E">
      <w:numFmt w:val="bullet"/>
      <w:lvlText w:val="•"/>
      <w:lvlJc w:val="left"/>
      <w:pPr>
        <w:ind w:left="3445" w:hanging="360"/>
      </w:pPr>
      <w:rPr>
        <w:rFonts w:hint="default"/>
      </w:rPr>
    </w:lvl>
    <w:lvl w:ilvl="4" w:tplc="F8F20912">
      <w:numFmt w:val="bullet"/>
      <w:lvlText w:val="•"/>
      <w:lvlJc w:val="left"/>
      <w:pPr>
        <w:ind w:left="4530" w:hanging="360"/>
      </w:pPr>
      <w:rPr>
        <w:rFonts w:hint="default"/>
      </w:rPr>
    </w:lvl>
    <w:lvl w:ilvl="5" w:tplc="3B84888C">
      <w:numFmt w:val="bullet"/>
      <w:lvlText w:val="•"/>
      <w:lvlJc w:val="left"/>
      <w:pPr>
        <w:ind w:left="5615" w:hanging="360"/>
      </w:pPr>
      <w:rPr>
        <w:rFonts w:hint="default"/>
      </w:rPr>
    </w:lvl>
    <w:lvl w:ilvl="6" w:tplc="C908D7CA">
      <w:numFmt w:val="bullet"/>
      <w:lvlText w:val="•"/>
      <w:lvlJc w:val="left"/>
      <w:pPr>
        <w:ind w:left="6700" w:hanging="360"/>
      </w:pPr>
      <w:rPr>
        <w:rFonts w:hint="default"/>
      </w:rPr>
    </w:lvl>
    <w:lvl w:ilvl="7" w:tplc="DE225FD0">
      <w:numFmt w:val="bullet"/>
      <w:lvlText w:val="•"/>
      <w:lvlJc w:val="left"/>
      <w:pPr>
        <w:ind w:left="7785" w:hanging="360"/>
      </w:pPr>
      <w:rPr>
        <w:rFonts w:hint="default"/>
      </w:rPr>
    </w:lvl>
    <w:lvl w:ilvl="8" w:tplc="124EB9FC">
      <w:numFmt w:val="bullet"/>
      <w:lvlText w:val="•"/>
      <w:lvlJc w:val="left"/>
      <w:pPr>
        <w:ind w:left="8870" w:hanging="360"/>
      </w:pPr>
      <w:rPr>
        <w:rFonts w:hint="default"/>
      </w:rPr>
    </w:lvl>
  </w:abstractNum>
  <w:abstractNum w:abstractNumId="3" w15:restartNumberingAfterBreak="0">
    <w:nsid w:val="7F5F2780"/>
    <w:multiLevelType w:val="hybridMultilevel"/>
    <w:tmpl w:val="0D4EC1D8"/>
    <w:lvl w:ilvl="0" w:tplc="2A8451FC">
      <w:numFmt w:val="bullet"/>
      <w:lvlText w:val=""/>
      <w:lvlJc w:val="left"/>
      <w:pPr>
        <w:ind w:left="1640" w:hanging="360"/>
      </w:pPr>
      <w:rPr>
        <w:rFonts w:ascii="Wingdings" w:eastAsia="Wingdings" w:hAnsi="Wingdings" w:cs="Wingdings" w:hint="default"/>
        <w:w w:val="99"/>
        <w:sz w:val="24"/>
        <w:szCs w:val="24"/>
      </w:rPr>
    </w:lvl>
    <w:lvl w:ilvl="1" w:tplc="A6023C7A">
      <w:numFmt w:val="bullet"/>
      <w:lvlText w:val="o"/>
      <w:lvlJc w:val="left"/>
      <w:pPr>
        <w:ind w:left="2360" w:hanging="360"/>
      </w:pPr>
      <w:rPr>
        <w:rFonts w:ascii="Courier New" w:eastAsia="Courier New" w:hAnsi="Courier New" w:cs="Courier New" w:hint="default"/>
        <w:w w:val="99"/>
        <w:sz w:val="24"/>
        <w:szCs w:val="24"/>
      </w:rPr>
    </w:lvl>
    <w:lvl w:ilvl="2" w:tplc="8D1A8DF4">
      <w:numFmt w:val="bullet"/>
      <w:lvlText w:val="•"/>
      <w:lvlJc w:val="left"/>
      <w:pPr>
        <w:ind w:left="3333" w:hanging="360"/>
      </w:pPr>
      <w:rPr>
        <w:rFonts w:hint="default"/>
      </w:rPr>
    </w:lvl>
    <w:lvl w:ilvl="3" w:tplc="5BE846D4">
      <w:numFmt w:val="bullet"/>
      <w:lvlText w:val="•"/>
      <w:lvlJc w:val="left"/>
      <w:pPr>
        <w:ind w:left="4306" w:hanging="360"/>
      </w:pPr>
      <w:rPr>
        <w:rFonts w:hint="default"/>
      </w:rPr>
    </w:lvl>
    <w:lvl w:ilvl="4" w:tplc="9C0AB91E">
      <w:numFmt w:val="bullet"/>
      <w:lvlText w:val="•"/>
      <w:lvlJc w:val="left"/>
      <w:pPr>
        <w:ind w:left="5280" w:hanging="360"/>
      </w:pPr>
      <w:rPr>
        <w:rFonts w:hint="default"/>
      </w:rPr>
    </w:lvl>
    <w:lvl w:ilvl="5" w:tplc="524ECDE0">
      <w:numFmt w:val="bullet"/>
      <w:lvlText w:val="•"/>
      <w:lvlJc w:val="left"/>
      <w:pPr>
        <w:ind w:left="6253" w:hanging="360"/>
      </w:pPr>
      <w:rPr>
        <w:rFonts w:hint="default"/>
      </w:rPr>
    </w:lvl>
    <w:lvl w:ilvl="6" w:tplc="C1E62C8C">
      <w:numFmt w:val="bullet"/>
      <w:lvlText w:val="•"/>
      <w:lvlJc w:val="left"/>
      <w:pPr>
        <w:ind w:left="7226" w:hanging="360"/>
      </w:pPr>
      <w:rPr>
        <w:rFonts w:hint="default"/>
      </w:rPr>
    </w:lvl>
    <w:lvl w:ilvl="7" w:tplc="6C0A591C">
      <w:numFmt w:val="bullet"/>
      <w:lvlText w:val="•"/>
      <w:lvlJc w:val="left"/>
      <w:pPr>
        <w:ind w:left="8200" w:hanging="360"/>
      </w:pPr>
      <w:rPr>
        <w:rFonts w:hint="default"/>
      </w:rPr>
    </w:lvl>
    <w:lvl w:ilvl="8" w:tplc="EB62D120">
      <w:numFmt w:val="bullet"/>
      <w:lvlText w:val="•"/>
      <w:lvlJc w:val="left"/>
      <w:pPr>
        <w:ind w:left="9173" w:hanging="360"/>
      </w:pPr>
      <w:rPr>
        <w:rFonts w:hint="default"/>
      </w:rPr>
    </w:lvl>
  </w:abstractNum>
  <w:num w:numId="1" w16cid:durableId="1525482297">
    <w:abstractNumId w:val="0"/>
  </w:num>
  <w:num w:numId="2" w16cid:durableId="1533230483">
    <w:abstractNumId w:val="1"/>
  </w:num>
  <w:num w:numId="3" w16cid:durableId="2139911478">
    <w:abstractNumId w:val="3"/>
  </w:num>
  <w:num w:numId="4" w16cid:durableId="1551844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AA4"/>
    <w:rsid w:val="0004571A"/>
    <w:rsid w:val="0009479D"/>
    <w:rsid w:val="000953E1"/>
    <w:rsid w:val="00151FDE"/>
    <w:rsid w:val="001A510D"/>
    <w:rsid w:val="001C0AA4"/>
    <w:rsid w:val="00242022"/>
    <w:rsid w:val="003078FD"/>
    <w:rsid w:val="00372EFE"/>
    <w:rsid w:val="004269D5"/>
    <w:rsid w:val="0047269C"/>
    <w:rsid w:val="00524481"/>
    <w:rsid w:val="00740891"/>
    <w:rsid w:val="009619F6"/>
    <w:rsid w:val="00976584"/>
    <w:rsid w:val="009859E7"/>
    <w:rsid w:val="009936CB"/>
    <w:rsid w:val="00A079D8"/>
    <w:rsid w:val="00AB6ACB"/>
    <w:rsid w:val="00B17DE3"/>
    <w:rsid w:val="00B619B2"/>
    <w:rsid w:val="00B93EAD"/>
    <w:rsid w:val="00BB17B3"/>
    <w:rsid w:val="00BC50F6"/>
    <w:rsid w:val="00C80E2C"/>
    <w:rsid w:val="00CA6B42"/>
    <w:rsid w:val="00CB6774"/>
    <w:rsid w:val="00D0631C"/>
    <w:rsid w:val="00E531BF"/>
    <w:rsid w:val="00EA5877"/>
    <w:rsid w:val="00EF003F"/>
    <w:rsid w:val="00F05870"/>
    <w:rsid w:val="00F121EC"/>
    <w:rsid w:val="00F23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61EAAA"/>
  <w15:docId w15:val="{68F1678E-B8D9-4709-AECB-E108D77E2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80E2C"/>
    <w:rPr>
      <w:sz w:val="16"/>
      <w:szCs w:val="16"/>
    </w:rPr>
  </w:style>
  <w:style w:type="paragraph" w:styleId="CommentText">
    <w:name w:val="annotation text"/>
    <w:basedOn w:val="Normal"/>
    <w:link w:val="CommentTextChar"/>
    <w:uiPriority w:val="99"/>
    <w:semiHidden/>
    <w:unhideWhenUsed/>
    <w:rsid w:val="00C80E2C"/>
    <w:rPr>
      <w:sz w:val="20"/>
      <w:szCs w:val="20"/>
    </w:rPr>
  </w:style>
  <w:style w:type="character" w:customStyle="1" w:styleId="CommentTextChar">
    <w:name w:val="Comment Text Char"/>
    <w:basedOn w:val="DefaultParagraphFont"/>
    <w:link w:val="CommentText"/>
    <w:uiPriority w:val="99"/>
    <w:semiHidden/>
    <w:rsid w:val="00C80E2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80E2C"/>
    <w:rPr>
      <w:b/>
      <w:bCs/>
    </w:rPr>
  </w:style>
  <w:style w:type="character" w:customStyle="1" w:styleId="CommentSubjectChar">
    <w:name w:val="Comment Subject Char"/>
    <w:basedOn w:val="CommentTextChar"/>
    <w:link w:val="CommentSubject"/>
    <w:uiPriority w:val="99"/>
    <w:semiHidden/>
    <w:rsid w:val="00C80E2C"/>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80E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E2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grants.nih.gov/grants/olaw/120301_NPG_slides.pdf" TargetMode="External"/><Relationship Id="rId3" Type="http://schemas.openxmlformats.org/officeDocument/2006/relationships/settings" Target="settings.xml"/><Relationship Id="rId7" Type="http://schemas.openxmlformats.org/officeDocument/2006/relationships/hyperlink" Target="http://www.upenn.edu/regulatoryaffairs/Documents/iacucguideline-tribromoethanoluseinmiceandrat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754</Words>
  <Characters>4243</Characters>
  <Application>Microsoft Office Word</Application>
  <DocSecurity>0</DocSecurity>
  <Lines>88</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Sangster</dc:creator>
  <cp:lastModifiedBy>Bucher, Jamie</cp:lastModifiedBy>
  <cp:revision>3</cp:revision>
  <dcterms:created xsi:type="dcterms:W3CDTF">2023-12-20T14:44:00Z</dcterms:created>
  <dcterms:modified xsi:type="dcterms:W3CDTF">2026-03-19T14:33:00Z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2017-08-18T00:00:00Z</vt:filetime>
  </property>
  <property fmtid="{D5CDD505-2E9C-101B-9397-08002B2CF9AE}" pid="3" name="Creator">
    <vt:lpwstr>Acrobat PDFMaker 15 for Word</vt:lpwstr>
  </property>
  <property fmtid="{D5CDD505-2E9C-101B-9397-08002B2CF9AE}" pid="4" name="LastSaved">
    <vt:filetime>2019-05-28T00:00:00Z</vt:filetime>
  </property>
</Properties>
</file>