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AFD8" w14:textId="77777777" w:rsidR="00F54B7E" w:rsidRPr="00223275" w:rsidRDefault="00F8294A" w:rsidP="00130BB5">
      <w:pPr>
        <w:pStyle w:val="Heading1"/>
        <w:tabs>
          <w:tab w:val="left" w:pos="6888"/>
        </w:tabs>
        <w:spacing w:before="75"/>
        <w:ind w:right="2232"/>
      </w:pPr>
      <w:bookmarkStart w:id="0" w:name="Guidelines_for_Euthanasia_of_Rodents_Usi"/>
      <w:bookmarkEnd w:id="0"/>
      <w:r w:rsidRPr="00223275">
        <w:t>Guidelines for Euthanasia of Rodents Using Carbon Dioxide (CO2)</w:t>
      </w:r>
    </w:p>
    <w:p w14:paraId="319BC337" w14:textId="58A65C35" w:rsidR="00F54B7E" w:rsidRPr="00223275" w:rsidRDefault="00F8294A" w:rsidP="00130BB5">
      <w:pPr>
        <w:tabs>
          <w:tab w:val="left" w:pos="6888"/>
        </w:tabs>
        <w:spacing w:before="1"/>
        <w:ind w:left="2171" w:right="2230"/>
        <w:jc w:val="center"/>
        <w:rPr>
          <w:b/>
          <w:sz w:val="24"/>
          <w:szCs w:val="24"/>
        </w:rPr>
      </w:pPr>
      <w:r w:rsidRPr="00223275">
        <w:rPr>
          <w:b/>
          <w:sz w:val="24"/>
          <w:szCs w:val="24"/>
        </w:rPr>
        <w:t xml:space="preserve">Revised by UCAR </w:t>
      </w:r>
      <w:r w:rsidR="00F45F5C">
        <w:rPr>
          <w:b/>
          <w:sz w:val="24"/>
          <w:szCs w:val="24"/>
        </w:rPr>
        <w:t>2/18/26</w:t>
      </w:r>
    </w:p>
    <w:p w14:paraId="3F9CF557" w14:textId="77777777" w:rsidR="00F54B7E" w:rsidRDefault="00F54B7E" w:rsidP="00130BB5">
      <w:pPr>
        <w:pStyle w:val="BodyText"/>
        <w:tabs>
          <w:tab w:val="left" w:pos="6888"/>
        </w:tabs>
        <w:spacing w:before="3"/>
        <w:rPr>
          <w:rFonts w:ascii="Times New Roman"/>
          <w:b/>
        </w:rPr>
      </w:pPr>
    </w:p>
    <w:p w14:paraId="037CD4B7" w14:textId="3518A32B" w:rsidR="00F54B7E" w:rsidRDefault="00F8294A" w:rsidP="00130BB5">
      <w:pPr>
        <w:pStyle w:val="BodyText"/>
        <w:tabs>
          <w:tab w:val="left" w:pos="6888"/>
        </w:tabs>
        <w:ind w:left="119"/>
      </w:pPr>
      <w:r>
        <w:rPr>
          <w:position w:val="1"/>
        </w:rPr>
        <w:t>CO</w:t>
      </w:r>
      <w:r>
        <w:rPr>
          <w:sz w:val="16"/>
        </w:rPr>
        <w:t xml:space="preserve">2 </w:t>
      </w:r>
      <w:r>
        <w:rPr>
          <w:position w:val="1"/>
        </w:rPr>
        <w:t xml:space="preserve">inhalation is considered an acceptable method of euthanasia for small rodents (e.g., mice, rats, gerbils, hamsters, </w:t>
      </w:r>
      <w:r>
        <w:t>guinea pigs and degus) when properly administered. The AVMA Guidelines for the Euthanasia of Animals: 2020 Edition</w:t>
      </w:r>
      <w:r>
        <w:rPr>
          <w:position w:val="8"/>
          <w:sz w:val="16"/>
        </w:rPr>
        <w:t xml:space="preserve">1 </w:t>
      </w:r>
      <w:r>
        <w:t>describes that certain critical factors must be met to use CO</w:t>
      </w:r>
      <w:r>
        <w:rPr>
          <w:sz w:val="16"/>
        </w:rPr>
        <w:t xml:space="preserve">2 </w:t>
      </w:r>
      <w:r>
        <w:t>inhalation for euthanasia: “Carbon dioxide and CO</w:t>
      </w:r>
      <w:r>
        <w:rPr>
          <w:sz w:val="16"/>
        </w:rPr>
        <w:t xml:space="preserve">2 </w:t>
      </w:r>
      <w:r>
        <w:t xml:space="preserve">gas mixtures must be supplied in a precisely regulated and purified form without contaminants or adulterants, typically from a commercially supplied cylinder or tank…. As gas displacement rate is critical to the </w:t>
      </w:r>
      <w:r>
        <w:rPr>
          <w:position w:val="1"/>
        </w:rPr>
        <w:t>humane application of CO</w:t>
      </w:r>
      <w:r>
        <w:rPr>
          <w:sz w:val="16"/>
        </w:rPr>
        <w:t>2</w:t>
      </w:r>
      <w:r>
        <w:rPr>
          <w:color w:val="211D1E"/>
        </w:rPr>
        <w:t>, an appropriate pressure-reducing regulator and flow meter, or equivalent equipment, with demonstrated capability for generating the recommended displacement rates for the size of the container being utilized is absolutely necessary</w:t>
      </w:r>
      <w:r w:rsidR="00B85767">
        <w:rPr>
          <w:color w:val="211D1E"/>
        </w:rPr>
        <w:t>.</w:t>
      </w:r>
      <w:r>
        <w:rPr>
          <w:color w:val="211D1E"/>
        </w:rPr>
        <w:t>”</w:t>
      </w:r>
    </w:p>
    <w:p w14:paraId="66F9163E" w14:textId="77777777" w:rsidR="00F54B7E" w:rsidRDefault="00F54B7E" w:rsidP="00130BB5">
      <w:pPr>
        <w:pStyle w:val="BodyText"/>
        <w:tabs>
          <w:tab w:val="left" w:pos="6888"/>
        </w:tabs>
        <w:spacing w:before="2"/>
      </w:pPr>
    </w:p>
    <w:p w14:paraId="7CD73757" w14:textId="77777777" w:rsidR="00F54B7E" w:rsidRDefault="00F8294A" w:rsidP="00130BB5">
      <w:pPr>
        <w:pStyle w:val="BodyText"/>
        <w:tabs>
          <w:tab w:val="left" w:pos="6888"/>
        </w:tabs>
        <w:ind w:left="119"/>
      </w:pPr>
      <w:r>
        <w:rPr>
          <w:color w:val="211D1E"/>
        </w:rPr>
        <w:t>The euthanasia method must be appropriate to the research goals, species and age of the animal, approved in the animal care and use protocol and must be consistent with the current AVMA Guidelines on Euthanasia.</w:t>
      </w:r>
    </w:p>
    <w:p w14:paraId="6772F73E" w14:textId="77777777" w:rsidR="00F54B7E" w:rsidRDefault="00F54B7E" w:rsidP="00130BB5">
      <w:pPr>
        <w:pStyle w:val="BodyText"/>
        <w:tabs>
          <w:tab w:val="left" w:pos="6888"/>
        </w:tabs>
        <w:spacing w:before="4"/>
      </w:pPr>
    </w:p>
    <w:p w14:paraId="4084026E" w14:textId="77777777" w:rsidR="00F54B7E" w:rsidRDefault="00F8294A" w:rsidP="00130BB5">
      <w:pPr>
        <w:pStyle w:val="BodyText"/>
        <w:tabs>
          <w:tab w:val="left" w:pos="6888"/>
        </w:tabs>
        <w:ind w:left="119"/>
      </w:pPr>
      <w:r>
        <w:rPr>
          <w:position w:val="1"/>
        </w:rPr>
        <w:t>UCAR guidelines for the Use of CO</w:t>
      </w:r>
      <w:r>
        <w:rPr>
          <w:sz w:val="16"/>
        </w:rPr>
        <w:t xml:space="preserve">2 </w:t>
      </w:r>
      <w:r>
        <w:rPr>
          <w:position w:val="1"/>
        </w:rPr>
        <w:t>for rodent euthanasia include the following:</w:t>
      </w:r>
    </w:p>
    <w:p w14:paraId="235E07EF" w14:textId="77777777" w:rsidR="00F54B7E" w:rsidRDefault="00F54B7E" w:rsidP="00130BB5">
      <w:pPr>
        <w:pStyle w:val="BodyText"/>
        <w:tabs>
          <w:tab w:val="left" w:pos="6888"/>
        </w:tabs>
      </w:pPr>
    </w:p>
    <w:p w14:paraId="69632AB9" w14:textId="14EA707E" w:rsidR="00F54B7E" w:rsidRDefault="00F8294A" w:rsidP="00130BB5">
      <w:pPr>
        <w:pStyle w:val="ListParagraph"/>
        <w:numPr>
          <w:ilvl w:val="0"/>
          <w:numId w:val="2"/>
        </w:numPr>
        <w:tabs>
          <w:tab w:val="left" w:pos="840"/>
          <w:tab w:val="left" w:pos="6888"/>
        </w:tabs>
        <w:rPr>
          <w:sz w:val="24"/>
        </w:rPr>
      </w:pPr>
      <w:r>
        <w:rPr>
          <w:sz w:val="24"/>
        </w:rPr>
        <w:t>All euthanasia chambers must be transparent so that all animals can be</w:t>
      </w:r>
      <w:r w:rsidR="00130BB5">
        <w:rPr>
          <w:sz w:val="24"/>
        </w:rPr>
        <w:t xml:space="preserve"> </w:t>
      </w:r>
      <w:r>
        <w:rPr>
          <w:sz w:val="24"/>
        </w:rPr>
        <w:t>observed during the</w:t>
      </w:r>
      <w:r>
        <w:rPr>
          <w:spacing w:val="-11"/>
          <w:sz w:val="24"/>
        </w:rPr>
        <w:t xml:space="preserve"> </w:t>
      </w:r>
      <w:r>
        <w:rPr>
          <w:sz w:val="24"/>
        </w:rPr>
        <w:t>process.</w:t>
      </w:r>
    </w:p>
    <w:p w14:paraId="1C6ADF50" w14:textId="77777777" w:rsidR="00F54B7E" w:rsidRDefault="00F54B7E" w:rsidP="00130BB5">
      <w:pPr>
        <w:pStyle w:val="BodyText"/>
        <w:tabs>
          <w:tab w:val="left" w:pos="6888"/>
        </w:tabs>
        <w:spacing w:before="2"/>
        <w:rPr>
          <w:sz w:val="25"/>
        </w:rPr>
      </w:pPr>
    </w:p>
    <w:p w14:paraId="4B05CD50" w14:textId="77777777" w:rsidR="00F54B7E" w:rsidRDefault="00F8294A" w:rsidP="00130BB5">
      <w:pPr>
        <w:pStyle w:val="ListParagraph"/>
        <w:numPr>
          <w:ilvl w:val="0"/>
          <w:numId w:val="2"/>
        </w:numPr>
        <w:tabs>
          <w:tab w:val="left" w:pos="840"/>
          <w:tab w:val="left" w:pos="6888"/>
        </w:tabs>
        <w:spacing w:line="276" w:lineRule="exact"/>
        <w:rPr>
          <w:sz w:val="24"/>
        </w:rPr>
      </w:pPr>
      <w:r>
        <w:rPr>
          <w:position w:val="1"/>
          <w:sz w:val="24"/>
        </w:rPr>
        <w:t>A CO</w:t>
      </w:r>
      <w:r>
        <w:rPr>
          <w:sz w:val="16"/>
        </w:rPr>
        <w:t xml:space="preserve">2 </w:t>
      </w:r>
      <w:r>
        <w:rPr>
          <w:position w:val="1"/>
          <w:sz w:val="24"/>
        </w:rPr>
        <w:t>euthanasia SOP must be developed and posted for each location where CO</w:t>
      </w:r>
      <w:r>
        <w:rPr>
          <w:sz w:val="16"/>
        </w:rPr>
        <w:t xml:space="preserve">2 </w:t>
      </w:r>
      <w:r>
        <w:rPr>
          <w:sz w:val="24"/>
        </w:rPr>
        <w:t>euthanasia is performed. The SOP must meet UCAR</w:t>
      </w:r>
      <w:r>
        <w:rPr>
          <w:spacing w:val="-37"/>
          <w:sz w:val="24"/>
        </w:rPr>
        <w:t xml:space="preserve"> </w:t>
      </w:r>
      <w:r>
        <w:rPr>
          <w:sz w:val="24"/>
        </w:rPr>
        <w:t>guidelines.</w:t>
      </w:r>
    </w:p>
    <w:p w14:paraId="38A25A51" w14:textId="77777777" w:rsidR="00F54B7E" w:rsidRDefault="00F54B7E" w:rsidP="00130BB5">
      <w:pPr>
        <w:pStyle w:val="BodyText"/>
        <w:tabs>
          <w:tab w:val="left" w:pos="6888"/>
        </w:tabs>
        <w:spacing w:before="7"/>
        <w:rPr>
          <w:sz w:val="23"/>
        </w:rPr>
      </w:pPr>
    </w:p>
    <w:p w14:paraId="476FB09D" w14:textId="1794631C" w:rsidR="00B85767" w:rsidRDefault="00F8294A" w:rsidP="00130BB5">
      <w:pPr>
        <w:pStyle w:val="ListParagraph"/>
        <w:numPr>
          <w:ilvl w:val="0"/>
          <w:numId w:val="2"/>
        </w:numPr>
        <w:tabs>
          <w:tab w:val="left" w:pos="840"/>
          <w:tab w:val="left" w:pos="6888"/>
        </w:tabs>
        <w:rPr>
          <w:sz w:val="24"/>
        </w:rPr>
      </w:pPr>
      <w:r>
        <w:rPr>
          <w:sz w:val="24"/>
        </w:rPr>
        <w:t>Use compressed CO</w:t>
      </w:r>
      <w:r>
        <w:rPr>
          <w:sz w:val="16"/>
        </w:rPr>
        <w:t xml:space="preserve">2 </w:t>
      </w:r>
      <w:r>
        <w:rPr>
          <w:sz w:val="24"/>
        </w:rPr>
        <w:t>gas cylinders</w:t>
      </w:r>
      <w:r>
        <w:rPr>
          <w:color w:val="C00000"/>
          <w:sz w:val="24"/>
        </w:rPr>
        <w:t xml:space="preserve"> </w:t>
      </w:r>
      <w:r>
        <w:rPr>
          <w:sz w:val="24"/>
        </w:rPr>
        <w:t xml:space="preserve">fitted with a </w:t>
      </w:r>
      <w:r>
        <w:rPr>
          <w:color w:val="211D1E"/>
          <w:sz w:val="24"/>
        </w:rPr>
        <w:t>pressure-reducing regulator and an attached calibrated flow meter</w:t>
      </w:r>
      <w:r>
        <w:rPr>
          <w:sz w:val="24"/>
        </w:rPr>
        <w:t>. Do not pre-charge the chamber</w:t>
      </w:r>
      <w:r w:rsidR="00B85767">
        <w:rPr>
          <w:sz w:val="24"/>
        </w:rPr>
        <w:t>; prefilled chambers are unacceptable per the AVMA Guidelines due to the potential for significant pain.</w:t>
      </w:r>
      <w:r>
        <w:rPr>
          <w:sz w:val="24"/>
        </w:rPr>
        <w:t xml:space="preserve"> </w:t>
      </w:r>
    </w:p>
    <w:p w14:paraId="22D7530D" w14:textId="77777777" w:rsidR="00B85767" w:rsidRPr="00130BB5" w:rsidRDefault="00B85767" w:rsidP="00130BB5">
      <w:pPr>
        <w:pStyle w:val="ListParagraph"/>
        <w:tabs>
          <w:tab w:val="left" w:pos="6888"/>
        </w:tabs>
        <w:rPr>
          <w:sz w:val="24"/>
        </w:rPr>
      </w:pPr>
    </w:p>
    <w:p w14:paraId="3999CF4C" w14:textId="32C0F6CA" w:rsidR="00F54B7E" w:rsidRDefault="00F8294A" w:rsidP="00130BB5">
      <w:pPr>
        <w:pStyle w:val="ListParagraph"/>
        <w:numPr>
          <w:ilvl w:val="0"/>
          <w:numId w:val="2"/>
        </w:numPr>
        <w:tabs>
          <w:tab w:val="left" w:pos="840"/>
          <w:tab w:val="left" w:pos="6888"/>
        </w:tabs>
        <w:rPr>
          <w:sz w:val="24"/>
        </w:rPr>
      </w:pPr>
      <w:r>
        <w:rPr>
          <w:sz w:val="24"/>
        </w:rPr>
        <w:t>Place the animal(s) in the chamber and introduce CO</w:t>
      </w:r>
      <w:r>
        <w:rPr>
          <w:sz w:val="16"/>
        </w:rPr>
        <w:t>2</w:t>
      </w:r>
      <w:r w:rsidR="00B85767">
        <w:rPr>
          <w:sz w:val="24"/>
        </w:rPr>
        <w:t xml:space="preserve"> at a</w:t>
      </w:r>
      <w:r>
        <w:rPr>
          <w:sz w:val="24"/>
        </w:rPr>
        <w:t xml:space="preserve"> rate of 30% to 70% of the chamber volume per minute. This will produce rapid unconsciousness with minimal distress </w:t>
      </w:r>
      <w:r>
        <w:rPr>
          <w:spacing w:val="2"/>
          <w:sz w:val="24"/>
        </w:rPr>
        <w:t xml:space="preserve">in animals </w:t>
      </w:r>
      <w:r>
        <w:rPr>
          <w:sz w:val="24"/>
        </w:rPr>
        <w:t>(AVMA 2020, pg.</w:t>
      </w:r>
      <w:r>
        <w:rPr>
          <w:spacing w:val="-22"/>
          <w:sz w:val="24"/>
        </w:rPr>
        <w:t xml:space="preserve"> </w:t>
      </w:r>
      <w:r>
        <w:rPr>
          <w:sz w:val="24"/>
        </w:rPr>
        <w:t>31).</w:t>
      </w:r>
    </w:p>
    <w:p w14:paraId="5CB26B94" w14:textId="77777777" w:rsidR="00F54B7E" w:rsidRDefault="00F54B7E" w:rsidP="00130BB5">
      <w:pPr>
        <w:pStyle w:val="BodyText"/>
        <w:tabs>
          <w:tab w:val="left" w:pos="6888"/>
        </w:tabs>
      </w:pPr>
    </w:p>
    <w:p w14:paraId="43D5E5DB" w14:textId="77777777" w:rsidR="00F54B7E" w:rsidRDefault="00F8294A" w:rsidP="00130BB5">
      <w:pPr>
        <w:pStyle w:val="Heading2"/>
        <w:numPr>
          <w:ilvl w:val="1"/>
          <w:numId w:val="2"/>
        </w:numPr>
        <w:tabs>
          <w:tab w:val="left" w:pos="1560"/>
          <w:tab w:val="left" w:pos="6888"/>
        </w:tabs>
        <w:ind w:left="1560" w:right="0"/>
      </w:pPr>
      <w:bookmarkStart w:id="1" w:name="a._Small_Mouse_Cage_(7½&quot;_wide_x_11½&quot;_dee"/>
      <w:bookmarkEnd w:id="1"/>
      <w:r>
        <w:t>Small Mouse Cage (7½" wide x 11½" deep x 5" high): 2.0 - 5.0 liters per</w:t>
      </w:r>
      <w:r>
        <w:rPr>
          <w:spacing w:val="-40"/>
        </w:rPr>
        <w:t xml:space="preserve"> </w:t>
      </w:r>
      <w:r>
        <w:t>minute.</w:t>
      </w:r>
    </w:p>
    <w:p w14:paraId="7FDFDB45" w14:textId="77777777" w:rsidR="00F54B7E" w:rsidRDefault="00F8294A" w:rsidP="00130BB5">
      <w:pPr>
        <w:pStyle w:val="ListParagraph"/>
        <w:numPr>
          <w:ilvl w:val="1"/>
          <w:numId w:val="2"/>
        </w:numPr>
        <w:tabs>
          <w:tab w:val="left" w:pos="1560"/>
          <w:tab w:val="left" w:pos="6888"/>
        </w:tabs>
        <w:ind w:left="1560"/>
        <w:rPr>
          <w:b/>
          <w:i/>
          <w:sz w:val="24"/>
        </w:rPr>
      </w:pPr>
      <w:r>
        <w:rPr>
          <w:b/>
          <w:i/>
          <w:sz w:val="24"/>
        </w:rPr>
        <w:t>Large Mouse Cage (10½" wide x 19" deep x 6" high): 6.0 – 14.0 liters per</w:t>
      </w:r>
      <w:r>
        <w:rPr>
          <w:b/>
          <w:i/>
          <w:spacing w:val="-40"/>
          <w:sz w:val="24"/>
        </w:rPr>
        <w:t xml:space="preserve"> </w:t>
      </w:r>
      <w:r>
        <w:rPr>
          <w:b/>
          <w:i/>
          <w:sz w:val="24"/>
        </w:rPr>
        <w:t>minute.</w:t>
      </w:r>
    </w:p>
    <w:p w14:paraId="49EBE8AB" w14:textId="77777777" w:rsidR="00F54B7E" w:rsidRDefault="00F8294A" w:rsidP="00130BB5">
      <w:pPr>
        <w:pStyle w:val="ListParagraph"/>
        <w:numPr>
          <w:ilvl w:val="1"/>
          <w:numId w:val="2"/>
        </w:numPr>
        <w:tabs>
          <w:tab w:val="left" w:pos="1560"/>
          <w:tab w:val="left" w:pos="6888"/>
        </w:tabs>
        <w:ind w:left="1560"/>
        <w:rPr>
          <w:b/>
          <w:i/>
          <w:sz w:val="24"/>
        </w:rPr>
      </w:pPr>
      <w:r>
        <w:rPr>
          <w:b/>
          <w:i/>
          <w:sz w:val="24"/>
        </w:rPr>
        <w:t>Rat Cage (10½" wide x 19" deep x 8" high): 8.0 – 18.0 liters per minute.</w:t>
      </w:r>
    </w:p>
    <w:p w14:paraId="7A49B2AC" w14:textId="77777777" w:rsidR="00F54B7E" w:rsidRDefault="00F54B7E" w:rsidP="00130BB5">
      <w:pPr>
        <w:pStyle w:val="BodyText"/>
        <w:tabs>
          <w:tab w:val="left" w:pos="6888"/>
        </w:tabs>
        <w:spacing w:before="11"/>
        <w:rPr>
          <w:b/>
          <w:i/>
          <w:sz w:val="23"/>
        </w:rPr>
      </w:pPr>
    </w:p>
    <w:p w14:paraId="2CE9A885" w14:textId="77777777" w:rsidR="00130BB5" w:rsidRDefault="00F8294A" w:rsidP="00130BB5">
      <w:pPr>
        <w:pStyle w:val="BodyText"/>
        <w:tabs>
          <w:tab w:val="left" w:pos="6888"/>
        </w:tabs>
        <w:ind w:left="840"/>
      </w:pPr>
      <w:r>
        <w:t>Once the rodent appears unconscious (i.e., recumbent, absence of purposeful movement) you may increase the flow rate of CO</w:t>
      </w:r>
      <w:r>
        <w:rPr>
          <w:sz w:val="16"/>
        </w:rPr>
        <w:t>2</w:t>
      </w:r>
      <w:r>
        <w:t>.</w:t>
      </w:r>
    </w:p>
    <w:p w14:paraId="01B9B6FD" w14:textId="3B3FCCB8" w:rsidR="00F54B7E" w:rsidRDefault="00F8294A" w:rsidP="00181286">
      <w:pPr>
        <w:pStyle w:val="BodyText"/>
        <w:numPr>
          <w:ilvl w:val="0"/>
          <w:numId w:val="2"/>
        </w:numPr>
        <w:tabs>
          <w:tab w:val="left" w:pos="6888"/>
        </w:tabs>
        <w:spacing w:before="78"/>
      </w:pPr>
      <w:r w:rsidRPr="00130BB5">
        <w:t>Neonatal animals (up to 10 days of age) are resistant to the</w:t>
      </w:r>
      <w:r w:rsidRPr="00130BB5">
        <w:rPr>
          <w:spacing w:val="-34"/>
        </w:rPr>
        <w:t xml:space="preserve"> </w:t>
      </w:r>
      <w:r w:rsidRPr="00130BB5">
        <w:t>hypoxia-</w:t>
      </w:r>
      <w:r>
        <w:t xml:space="preserve">inducing </w:t>
      </w:r>
      <w:r>
        <w:lastRenderedPageBreak/>
        <w:t>effects of CO</w:t>
      </w:r>
      <w:r w:rsidRPr="00130BB5">
        <w:rPr>
          <w:sz w:val="16"/>
        </w:rPr>
        <w:t>2</w:t>
      </w:r>
      <w:r>
        <w:t xml:space="preserve">. Please refer to the UCAR Guidelines for the </w:t>
      </w:r>
      <w:hyperlink r:id="rId6">
        <w:r w:rsidRPr="00130BB5">
          <w:rPr>
            <w:color w:val="0000FF"/>
            <w:u w:val="single" w:color="0000FF"/>
          </w:rPr>
          <w:t>Euth</w:t>
        </w:r>
        <w:r w:rsidRPr="00130BB5">
          <w:rPr>
            <w:color w:val="0000FF"/>
            <w:u w:val="single" w:color="0000FF"/>
          </w:rPr>
          <w:t>a</w:t>
        </w:r>
        <w:r w:rsidRPr="00130BB5">
          <w:rPr>
            <w:color w:val="0000FF"/>
            <w:u w:val="single" w:color="0000FF"/>
          </w:rPr>
          <w:t>nasia of Fetuses, Neonates and Embryos</w:t>
        </w:r>
      </w:hyperlink>
      <w:r>
        <w:t>.</w:t>
      </w:r>
    </w:p>
    <w:p w14:paraId="4CADC700" w14:textId="77777777" w:rsidR="00F54B7E" w:rsidRDefault="00F54B7E" w:rsidP="00181286">
      <w:pPr>
        <w:pStyle w:val="BodyText"/>
        <w:tabs>
          <w:tab w:val="left" w:pos="6888"/>
        </w:tabs>
        <w:spacing w:before="8"/>
        <w:rPr>
          <w:sz w:val="15"/>
        </w:rPr>
      </w:pPr>
    </w:p>
    <w:p w14:paraId="41B82298" w14:textId="77777777" w:rsidR="000E23FC" w:rsidRPr="00223275" w:rsidRDefault="00F8294A" w:rsidP="00181286">
      <w:pPr>
        <w:pStyle w:val="ListParagraph"/>
        <w:numPr>
          <w:ilvl w:val="0"/>
          <w:numId w:val="2"/>
        </w:numPr>
        <w:tabs>
          <w:tab w:val="left" w:pos="840"/>
          <w:tab w:val="left" w:pos="6888"/>
        </w:tabs>
        <w:spacing w:before="93"/>
        <w:rPr>
          <w:sz w:val="24"/>
        </w:rPr>
      </w:pPr>
      <w:r>
        <w:rPr>
          <w:sz w:val="24"/>
        </w:rPr>
        <w:t>Animals should be euthanized in their home cage whenever possible. Do not overcrowd chambers/cages. Do not combine species. Rodents from different cages should not be combined prior to euthanasia even if totaling less than 5 due to potential for distress and fighting</w:t>
      </w:r>
      <w:r>
        <w:t xml:space="preserve">. </w:t>
      </w:r>
    </w:p>
    <w:p w14:paraId="29374443" w14:textId="77777777" w:rsidR="00F54B7E" w:rsidRDefault="00F54B7E" w:rsidP="00181286">
      <w:pPr>
        <w:pStyle w:val="BodyText"/>
        <w:tabs>
          <w:tab w:val="left" w:pos="6888"/>
        </w:tabs>
        <w:spacing w:before="10"/>
        <w:rPr>
          <w:sz w:val="31"/>
        </w:rPr>
      </w:pPr>
    </w:p>
    <w:p w14:paraId="48428226" w14:textId="749CCCC2" w:rsidR="00F54B7E" w:rsidRDefault="00F8294A" w:rsidP="00181286">
      <w:pPr>
        <w:pStyle w:val="BodyText"/>
        <w:tabs>
          <w:tab w:val="left" w:pos="6888"/>
        </w:tabs>
        <w:ind w:left="839"/>
      </w:pPr>
      <w:r>
        <w:t xml:space="preserve">In general, there should be no more animals in euthanasia cages than </w:t>
      </w:r>
      <w:r w:rsidR="00BE3D4A">
        <w:t>allowed per the Mouse Cage Density and Rat Cage Density policies</w:t>
      </w:r>
      <w:r>
        <w:t>:</w:t>
      </w:r>
    </w:p>
    <w:p w14:paraId="3A87D468" w14:textId="77777777" w:rsidR="00F54B7E" w:rsidRDefault="00F54B7E" w:rsidP="00181286">
      <w:pPr>
        <w:pStyle w:val="BodyText"/>
        <w:tabs>
          <w:tab w:val="left" w:pos="6888"/>
        </w:tabs>
        <w:spacing w:before="10"/>
        <w:rPr>
          <w:sz w:val="23"/>
        </w:rPr>
      </w:pPr>
    </w:p>
    <w:p w14:paraId="07EC6324" w14:textId="77777777" w:rsidR="00F54B7E" w:rsidRDefault="00F8294A" w:rsidP="00181286">
      <w:pPr>
        <w:pStyle w:val="ListParagraph"/>
        <w:numPr>
          <w:ilvl w:val="1"/>
          <w:numId w:val="2"/>
        </w:numPr>
        <w:tabs>
          <w:tab w:val="left" w:pos="1560"/>
          <w:tab w:val="left" w:pos="6888"/>
        </w:tabs>
        <w:spacing w:before="1"/>
        <w:ind w:left="1560"/>
        <w:rPr>
          <w:sz w:val="24"/>
        </w:rPr>
      </w:pPr>
      <w:r>
        <w:rPr>
          <w:sz w:val="24"/>
        </w:rPr>
        <w:t>Standard mouse cage – 5</w:t>
      </w:r>
      <w:r>
        <w:rPr>
          <w:spacing w:val="-11"/>
          <w:sz w:val="24"/>
        </w:rPr>
        <w:t xml:space="preserve"> </w:t>
      </w:r>
      <w:r>
        <w:rPr>
          <w:sz w:val="24"/>
        </w:rPr>
        <w:t>mice</w:t>
      </w:r>
    </w:p>
    <w:p w14:paraId="12A408E3" w14:textId="77777777" w:rsidR="00F54B7E" w:rsidRDefault="00F8294A" w:rsidP="00181286">
      <w:pPr>
        <w:pStyle w:val="ListParagraph"/>
        <w:numPr>
          <w:ilvl w:val="1"/>
          <w:numId w:val="2"/>
        </w:numPr>
        <w:tabs>
          <w:tab w:val="left" w:pos="1560"/>
          <w:tab w:val="left" w:pos="6888"/>
        </w:tabs>
        <w:ind w:left="1560"/>
        <w:rPr>
          <w:sz w:val="24"/>
        </w:rPr>
      </w:pPr>
      <w:r>
        <w:rPr>
          <w:sz w:val="24"/>
        </w:rPr>
        <w:t>Large mouse cage – 10</w:t>
      </w:r>
      <w:r>
        <w:rPr>
          <w:spacing w:val="-9"/>
          <w:sz w:val="24"/>
        </w:rPr>
        <w:t xml:space="preserve"> </w:t>
      </w:r>
      <w:r>
        <w:rPr>
          <w:sz w:val="24"/>
        </w:rPr>
        <w:t>mice</w:t>
      </w:r>
    </w:p>
    <w:p w14:paraId="39F5B7C5" w14:textId="77777777" w:rsidR="00F54B7E" w:rsidRDefault="00F8294A" w:rsidP="00181286">
      <w:pPr>
        <w:pStyle w:val="ListParagraph"/>
        <w:numPr>
          <w:ilvl w:val="1"/>
          <w:numId w:val="2"/>
        </w:numPr>
        <w:tabs>
          <w:tab w:val="left" w:pos="1560"/>
          <w:tab w:val="left" w:pos="6888"/>
        </w:tabs>
        <w:ind w:left="1560"/>
        <w:rPr>
          <w:sz w:val="24"/>
        </w:rPr>
      </w:pPr>
      <w:r>
        <w:rPr>
          <w:sz w:val="24"/>
        </w:rPr>
        <w:t>Standard rat cage – 5</w:t>
      </w:r>
      <w:r>
        <w:rPr>
          <w:spacing w:val="-17"/>
          <w:sz w:val="24"/>
        </w:rPr>
        <w:t xml:space="preserve"> </w:t>
      </w:r>
      <w:r>
        <w:rPr>
          <w:sz w:val="24"/>
        </w:rPr>
        <w:t>rats</w:t>
      </w:r>
    </w:p>
    <w:p w14:paraId="2297C919" w14:textId="77777777" w:rsidR="00F54B7E" w:rsidRDefault="00F54B7E" w:rsidP="00181286">
      <w:pPr>
        <w:pStyle w:val="BodyText"/>
        <w:tabs>
          <w:tab w:val="left" w:pos="6888"/>
        </w:tabs>
        <w:spacing w:before="7"/>
        <w:rPr>
          <w:sz w:val="30"/>
        </w:rPr>
      </w:pPr>
    </w:p>
    <w:p w14:paraId="340A9754" w14:textId="77777777" w:rsidR="000E23FC" w:rsidRDefault="000E23FC" w:rsidP="00181286">
      <w:pPr>
        <w:pStyle w:val="ListParagraph"/>
        <w:numPr>
          <w:ilvl w:val="0"/>
          <w:numId w:val="2"/>
        </w:numPr>
        <w:tabs>
          <w:tab w:val="left" w:pos="840"/>
          <w:tab w:val="left" w:pos="6888"/>
        </w:tabs>
        <w:spacing w:before="93"/>
        <w:rPr>
          <w:sz w:val="24"/>
        </w:rPr>
      </w:pPr>
      <w:r>
        <w:rPr>
          <w:sz w:val="24"/>
        </w:rPr>
        <w:t>If home cages cannot be used, the CO</w:t>
      </w:r>
      <w:r>
        <w:rPr>
          <w:sz w:val="16"/>
        </w:rPr>
        <w:t xml:space="preserve">2 </w:t>
      </w:r>
      <w:r>
        <w:rPr>
          <w:sz w:val="24"/>
        </w:rPr>
        <w:t xml:space="preserve">euthanasia chamber must be emptied and cleaned between each use </w:t>
      </w:r>
      <w:r>
        <w:rPr>
          <w:spacing w:val="2"/>
          <w:sz w:val="24"/>
        </w:rPr>
        <w:t xml:space="preserve">to remove </w:t>
      </w:r>
      <w:r>
        <w:rPr>
          <w:sz w:val="24"/>
        </w:rPr>
        <w:t>debris,</w:t>
      </w:r>
      <w:r>
        <w:rPr>
          <w:spacing w:val="-20"/>
          <w:sz w:val="24"/>
        </w:rPr>
        <w:t xml:space="preserve"> </w:t>
      </w:r>
      <w:r>
        <w:rPr>
          <w:sz w:val="24"/>
        </w:rPr>
        <w:t>pheromones and accumulated CO</w:t>
      </w:r>
      <w:r w:rsidRPr="00181286">
        <w:rPr>
          <w:sz w:val="24"/>
          <w:vertAlign w:val="subscript"/>
        </w:rPr>
        <w:t>2</w:t>
      </w:r>
      <w:r>
        <w:rPr>
          <w:sz w:val="24"/>
        </w:rPr>
        <w:t>.</w:t>
      </w:r>
      <w:r>
        <w:rPr>
          <w:sz w:val="24"/>
        </w:rPr>
        <w:br/>
      </w:r>
    </w:p>
    <w:p w14:paraId="155C43CA" w14:textId="53BB6ADD" w:rsidR="00F54B7E" w:rsidRDefault="00F8294A" w:rsidP="00181286">
      <w:pPr>
        <w:pStyle w:val="ListParagraph"/>
        <w:numPr>
          <w:ilvl w:val="0"/>
          <w:numId w:val="2"/>
        </w:numPr>
        <w:tabs>
          <w:tab w:val="left" w:pos="821"/>
          <w:tab w:val="left" w:pos="6888"/>
        </w:tabs>
        <w:ind w:left="820"/>
        <w:rPr>
          <w:b/>
          <w:sz w:val="24"/>
        </w:rPr>
      </w:pPr>
      <w:r>
        <w:rPr>
          <w:position w:val="1"/>
          <w:sz w:val="24"/>
        </w:rPr>
        <w:t>Rodents older than ten days must be left in the CO</w:t>
      </w:r>
      <w:r>
        <w:rPr>
          <w:sz w:val="16"/>
        </w:rPr>
        <w:t xml:space="preserve">2 </w:t>
      </w:r>
      <w:r>
        <w:rPr>
          <w:position w:val="1"/>
          <w:sz w:val="24"/>
        </w:rPr>
        <w:t xml:space="preserve">environment for at least </w:t>
      </w:r>
      <w:r w:rsidR="009F2DF7">
        <w:rPr>
          <w:position w:val="1"/>
          <w:sz w:val="24"/>
        </w:rPr>
        <w:t xml:space="preserve">1 minute after </w:t>
      </w:r>
      <w:r w:rsidR="00C2317B">
        <w:rPr>
          <w:position w:val="1"/>
          <w:sz w:val="24"/>
        </w:rPr>
        <w:t>respiratory</w:t>
      </w:r>
      <w:r w:rsidR="009F2DF7">
        <w:rPr>
          <w:position w:val="1"/>
          <w:sz w:val="24"/>
        </w:rPr>
        <w:t xml:space="preserve"> arrest</w:t>
      </w:r>
      <w:r>
        <w:rPr>
          <w:sz w:val="24"/>
        </w:rPr>
        <w:t>. Observe the rodents for cessation of breathing</w:t>
      </w:r>
      <w:r w:rsidR="000E23FC">
        <w:rPr>
          <w:sz w:val="24"/>
        </w:rPr>
        <w:t xml:space="preserve"> </w:t>
      </w:r>
      <w:r>
        <w:rPr>
          <w:sz w:val="24"/>
        </w:rPr>
        <w:t>and heartbeat. Other signs of death are faded eye color, fully dilated pupils and relaxation of anal/urinary sphincters</w:t>
      </w:r>
      <w:r>
        <w:rPr>
          <w:strike/>
          <w:sz w:val="24"/>
        </w:rPr>
        <w:t xml:space="preserve">, </w:t>
      </w:r>
      <w:r>
        <w:rPr>
          <w:sz w:val="24"/>
        </w:rPr>
        <w:t xml:space="preserve">which may result in rodent urinating and defecating. </w:t>
      </w:r>
      <w:r>
        <w:rPr>
          <w:b/>
          <w:sz w:val="24"/>
          <w:u w:val="thick"/>
        </w:rPr>
        <w:t>Never leave rodents unattended during</w:t>
      </w:r>
      <w:r>
        <w:rPr>
          <w:b/>
          <w:spacing w:val="-26"/>
          <w:sz w:val="24"/>
          <w:u w:val="thick"/>
        </w:rPr>
        <w:t xml:space="preserve"> </w:t>
      </w:r>
      <w:r>
        <w:rPr>
          <w:b/>
          <w:sz w:val="24"/>
          <w:u w:val="thick"/>
        </w:rPr>
        <w:t>euthanasia.</w:t>
      </w:r>
    </w:p>
    <w:p w14:paraId="0FA160CC" w14:textId="77777777" w:rsidR="00F54B7E" w:rsidRDefault="00F54B7E" w:rsidP="00181286">
      <w:pPr>
        <w:pStyle w:val="BodyText"/>
        <w:tabs>
          <w:tab w:val="left" w:pos="6888"/>
        </w:tabs>
        <w:spacing w:before="10"/>
        <w:rPr>
          <w:b/>
          <w:sz w:val="15"/>
        </w:rPr>
      </w:pPr>
    </w:p>
    <w:p w14:paraId="3D0B1F5E" w14:textId="77777777" w:rsidR="00F54B7E" w:rsidRDefault="00F8294A" w:rsidP="00181286">
      <w:pPr>
        <w:pStyle w:val="ListParagraph"/>
        <w:numPr>
          <w:ilvl w:val="0"/>
          <w:numId w:val="2"/>
        </w:numPr>
        <w:tabs>
          <w:tab w:val="left" w:pos="821"/>
          <w:tab w:val="left" w:pos="6888"/>
        </w:tabs>
        <w:spacing w:before="93"/>
        <w:ind w:left="820"/>
        <w:rPr>
          <w:sz w:val="24"/>
        </w:rPr>
      </w:pPr>
      <w:r>
        <w:rPr>
          <w:sz w:val="24"/>
        </w:rPr>
        <w:t>Upon completion of the procedure, death must be confirmed by performing a secondary physical method (i.e., decapitation, perfusion with a histological fixative via the major blood vessels, thoracotomy, complete severing of the spine just below the base of the skull using a dorsal approach and/or cervical dislocation for animals under 200g). After verifying death, place animal carcass in a bag, tie the bag securely and attach the completed Euthanasia Tag</w:t>
      </w:r>
      <w:r>
        <w:rPr>
          <w:spacing w:val="-4"/>
          <w:sz w:val="24"/>
        </w:rPr>
        <w:t xml:space="preserve"> </w:t>
      </w:r>
      <w:r>
        <w:rPr>
          <w:sz w:val="24"/>
        </w:rPr>
        <w:t>(yellow)</w:t>
      </w:r>
      <w:r>
        <w:rPr>
          <w:spacing w:val="-4"/>
          <w:sz w:val="24"/>
        </w:rPr>
        <w:t xml:space="preserve"> </w:t>
      </w:r>
      <w:r>
        <w:rPr>
          <w:sz w:val="24"/>
        </w:rPr>
        <w:t>prior</w:t>
      </w:r>
      <w:r>
        <w:rPr>
          <w:spacing w:val="-4"/>
          <w:sz w:val="24"/>
        </w:rPr>
        <w:t xml:space="preserve"> </w:t>
      </w:r>
      <w:r>
        <w:rPr>
          <w:sz w:val="24"/>
        </w:rPr>
        <w:t>to</w:t>
      </w:r>
      <w:r>
        <w:rPr>
          <w:spacing w:val="-2"/>
          <w:sz w:val="24"/>
        </w:rPr>
        <w:t xml:space="preserve"> </w:t>
      </w:r>
      <w:r>
        <w:rPr>
          <w:sz w:val="24"/>
        </w:rPr>
        <w:t>putting</w:t>
      </w:r>
      <w:r>
        <w:rPr>
          <w:spacing w:val="-4"/>
          <w:sz w:val="24"/>
        </w:rPr>
        <w:t xml:space="preserve"> </w:t>
      </w:r>
      <w:r>
        <w:rPr>
          <w:sz w:val="24"/>
        </w:rPr>
        <w:t>carcass</w:t>
      </w:r>
      <w:r>
        <w:rPr>
          <w:spacing w:val="-3"/>
          <w:sz w:val="24"/>
        </w:rPr>
        <w:t xml:space="preserve"> </w:t>
      </w:r>
      <w:r>
        <w:rPr>
          <w:sz w:val="24"/>
        </w:rPr>
        <w:t>bags</w:t>
      </w:r>
      <w:r>
        <w:rPr>
          <w:spacing w:val="-3"/>
          <w:sz w:val="24"/>
        </w:rPr>
        <w:t xml:space="preserve"> </w:t>
      </w:r>
      <w:r>
        <w:rPr>
          <w:sz w:val="24"/>
        </w:rPr>
        <w:t>in</w:t>
      </w:r>
      <w:r>
        <w:rPr>
          <w:spacing w:val="-2"/>
          <w:sz w:val="24"/>
        </w:rPr>
        <w:t xml:space="preserve"> </w:t>
      </w:r>
      <w:r>
        <w:rPr>
          <w:sz w:val="24"/>
        </w:rPr>
        <w:t>morgue</w:t>
      </w:r>
      <w:r>
        <w:rPr>
          <w:spacing w:val="-2"/>
          <w:sz w:val="24"/>
        </w:rPr>
        <w:t xml:space="preserve"> </w:t>
      </w:r>
      <w:r>
        <w:rPr>
          <w:sz w:val="24"/>
        </w:rPr>
        <w:t>coolers</w:t>
      </w:r>
      <w:r>
        <w:rPr>
          <w:spacing w:val="-5"/>
          <w:sz w:val="24"/>
        </w:rPr>
        <w:t xml:space="preserve"> </w:t>
      </w:r>
      <w:r>
        <w:rPr>
          <w:sz w:val="24"/>
        </w:rPr>
        <w:t>or</w:t>
      </w:r>
      <w:r>
        <w:rPr>
          <w:spacing w:val="-36"/>
          <w:sz w:val="24"/>
        </w:rPr>
        <w:t xml:space="preserve"> </w:t>
      </w:r>
      <w:r>
        <w:rPr>
          <w:sz w:val="24"/>
        </w:rPr>
        <w:t>freezers.</w:t>
      </w:r>
    </w:p>
    <w:p w14:paraId="6EBF27E5" w14:textId="77777777" w:rsidR="00F54B7E" w:rsidRDefault="00F54B7E" w:rsidP="00181286">
      <w:pPr>
        <w:pStyle w:val="BodyText"/>
        <w:tabs>
          <w:tab w:val="left" w:pos="6888"/>
        </w:tabs>
        <w:spacing w:before="8"/>
        <w:rPr>
          <w:sz w:val="23"/>
        </w:rPr>
      </w:pPr>
    </w:p>
    <w:p w14:paraId="366A78B9" w14:textId="49961666" w:rsidR="00F54B7E" w:rsidRDefault="00F8294A" w:rsidP="00181286">
      <w:pPr>
        <w:pStyle w:val="BodyText"/>
        <w:tabs>
          <w:tab w:val="left" w:pos="6888"/>
        </w:tabs>
        <w:spacing w:before="1"/>
        <w:ind w:left="100"/>
        <w:jc w:val="both"/>
      </w:pPr>
      <w:r>
        <w:rPr>
          <w:position w:val="1"/>
        </w:rPr>
        <w:t xml:space="preserve">In the Vivarium, you may use a </w:t>
      </w:r>
      <w:r w:rsidR="00496A62">
        <w:rPr>
          <w:position w:val="1"/>
        </w:rPr>
        <w:t xml:space="preserve">SMARTBOX Station or </w:t>
      </w:r>
      <w:r>
        <w:rPr>
          <w:position w:val="1"/>
        </w:rPr>
        <w:t>CO</w:t>
      </w:r>
      <w:r>
        <w:rPr>
          <w:sz w:val="16"/>
        </w:rPr>
        <w:t xml:space="preserve">2 </w:t>
      </w:r>
      <w:r>
        <w:rPr>
          <w:position w:val="1"/>
        </w:rPr>
        <w:t xml:space="preserve">euthanasia station, which consists of a gas tank, a regulator and </w:t>
      </w:r>
      <w:r>
        <w:t>flow meter which is connected to a lid that will fit on a mouse or a rat home cage. Directions and settings are provided in each room.</w:t>
      </w:r>
    </w:p>
    <w:p w14:paraId="2DA626DA" w14:textId="77777777" w:rsidR="00F54B7E" w:rsidRDefault="00F54B7E" w:rsidP="005D1CAB">
      <w:pPr>
        <w:pStyle w:val="BodyText"/>
        <w:tabs>
          <w:tab w:val="left" w:pos="6888"/>
        </w:tabs>
      </w:pPr>
    </w:p>
    <w:p w14:paraId="5A2D4446" w14:textId="2410B573" w:rsidR="00F54B7E" w:rsidRDefault="00F8294A" w:rsidP="005D1CAB">
      <w:pPr>
        <w:tabs>
          <w:tab w:val="left" w:pos="6888"/>
        </w:tabs>
        <w:ind w:left="100"/>
        <w:rPr>
          <w:sz w:val="24"/>
        </w:rPr>
      </w:pPr>
      <w:r>
        <w:rPr>
          <w:sz w:val="24"/>
        </w:rPr>
        <w:t xml:space="preserve">Also located in the vivarium are </w:t>
      </w:r>
      <w:r w:rsidR="00496A62">
        <w:rPr>
          <w:sz w:val="24"/>
        </w:rPr>
        <w:t xml:space="preserve">Euthanex </w:t>
      </w:r>
      <w:r>
        <w:rPr>
          <w:sz w:val="24"/>
        </w:rPr>
        <w:t xml:space="preserve">Euthanasia Equipment. The equipment is operated by the Vivarium personnel. </w:t>
      </w:r>
      <w:r>
        <w:rPr>
          <w:b/>
          <w:sz w:val="24"/>
        </w:rPr>
        <w:t>You will not receive carcasses after euthanasia</w:t>
      </w:r>
      <w:r>
        <w:rPr>
          <w:sz w:val="24"/>
        </w:rPr>
        <w:t>. The instructions for leaving cages of rodents for euthanasia are:</w:t>
      </w:r>
    </w:p>
    <w:p w14:paraId="15A10B6C" w14:textId="77777777" w:rsidR="00F54B7E" w:rsidRDefault="00F54B7E" w:rsidP="005D1CAB">
      <w:pPr>
        <w:pStyle w:val="BodyText"/>
        <w:tabs>
          <w:tab w:val="left" w:pos="6888"/>
        </w:tabs>
        <w:spacing w:before="11"/>
        <w:rPr>
          <w:sz w:val="23"/>
        </w:rPr>
      </w:pPr>
    </w:p>
    <w:p w14:paraId="5E3FE77A" w14:textId="77777777" w:rsidR="00F54B7E" w:rsidRDefault="00F8294A" w:rsidP="005D1CAB">
      <w:pPr>
        <w:pStyle w:val="ListParagraph"/>
        <w:numPr>
          <w:ilvl w:val="1"/>
          <w:numId w:val="2"/>
        </w:numPr>
        <w:tabs>
          <w:tab w:val="left" w:pos="1541"/>
          <w:tab w:val="left" w:pos="6888"/>
        </w:tabs>
        <w:rPr>
          <w:sz w:val="24"/>
        </w:rPr>
      </w:pPr>
      <w:r>
        <w:rPr>
          <w:sz w:val="24"/>
        </w:rPr>
        <w:t>Cages</w:t>
      </w:r>
      <w:r>
        <w:rPr>
          <w:spacing w:val="-4"/>
          <w:sz w:val="24"/>
        </w:rPr>
        <w:t xml:space="preserve"> </w:t>
      </w:r>
      <w:r>
        <w:rPr>
          <w:sz w:val="24"/>
        </w:rPr>
        <w:t>must</w:t>
      </w:r>
      <w:r>
        <w:rPr>
          <w:spacing w:val="-6"/>
          <w:sz w:val="24"/>
        </w:rPr>
        <w:t xml:space="preserve"> </w:t>
      </w:r>
      <w:r>
        <w:rPr>
          <w:sz w:val="24"/>
        </w:rPr>
        <w:t>be</w:t>
      </w:r>
      <w:r>
        <w:rPr>
          <w:spacing w:val="-5"/>
          <w:sz w:val="24"/>
        </w:rPr>
        <w:t xml:space="preserve"> </w:t>
      </w:r>
      <w:r>
        <w:rPr>
          <w:sz w:val="24"/>
        </w:rPr>
        <w:t>labeled</w:t>
      </w:r>
      <w:r>
        <w:rPr>
          <w:spacing w:val="-5"/>
          <w:sz w:val="24"/>
        </w:rPr>
        <w:t xml:space="preserve"> </w:t>
      </w:r>
      <w:r>
        <w:rPr>
          <w:sz w:val="24"/>
        </w:rPr>
        <w:t>with</w:t>
      </w:r>
      <w:r>
        <w:rPr>
          <w:spacing w:val="-3"/>
          <w:sz w:val="24"/>
        </w:rPr>
        <w:t xml:space="preserve"> </w:t>
      </w:r>
      <w:r>
        <w:rPr>
          <w:b/>
          <w:sz w:val="24"/>
        </w:rPr>
        <w:t>Investigator’s</w:t>
      </w:r>
      <w:r>
        <w:rPr>
          <w:b/>
          <w:spacing w:val="-3"/>
          <w:sz w:val="24"/>
        </w:rPr>
        <w:t xml:space="preserve"> </w:t>
      </w:r>
      <w:r>
        <w:rPr>
          <w:b/>
          <w:sz w:val="24"/>
        </w:rPr>
        <w:t>name</w:t>
      </w:r>
      <w:r>
        <w:rPr>
          <w:b/>
          <w:spacing w:val="-3"/>
          <w:sz w:val="24"/>
        </w:rPr>
        <w:t xml:space="preserve"> </w:t>
      </w:r>
      <w:r>
        <w:rPr>
          <w:b/>
          <w:sz w:val="24"/>
        </w:rPr>
        <w:t>and</w:t>
      </w:r>
      <w:r>
        <w:rPr>
          <w:b/>
          <w:spacing w:val="-4"/>
          <w:sz w:val="24"/>
        </w:rPr>
        <w:t xml:space="preserve"> </w:t>
      </w:r>
      <w:r>
        <w:rPr>
          <w:b/>
          <w:sz w:val="24"/>
        </w:rPr>
        <w:t>UCAR</w:t>
      </w:r>
      <w:r>
        <w:rPr>
          <w:b/>
          <w:spacing w:val="-34"/>
          <w:sz w:val="24"/>
        </w:rPr>
        <w:t xml:space="preserve"> </w:t>
      </w:r>
      <w:r>
        <w:rPr>
          <w:b/>
          <w:sz w:val="24"/>
        </w:rPr>
        <w:t>number</w:t>
      </w:r>
      <w:r>
        <w:rPr>
          <w:sz w:val="24"/>
        </w:rPr>
        <w:t>,</w:t>
      </w:r>
    </w:p>
    <w:p w14:paraId="54A02AD4" w14:textId="77777777" w:rsidR="00F54B7E" w:rsidRDefault="00F8294A" w:rsidP="005D1CAB">
      <w:pPr>
        <w:pStyle w:val="ListParagraph"/>
        <w:numPr>
          <w:ilvl w:val="1"/>
          <w:numId w:val="2"/>
        </w:numPr>
        <w:tabs>
          <w:tab w:val="left" w:pos="1541"/>
          <w:tab w:val="left" w:pos="6888"/>
        </w:tabs>
        <w:rPr>
          <w:sz w:val="24"/>
        </w:rPr>
      </w:pPr>
      <w:r>
        <w:rPr>
          <w:sz w:val="24"/>
        </w:rPr>
        <w:t>Do not leave sick, injured or fighting</w:t>
      </w:r>
      <w:r>
        <w:rPr>
          <w:spacing w:val="-44"/>
          <w:sz w:val="24"/>
        </w:rPr>
        <w:t xml:space="preserve"> </w:t>
      </w:r>
      <w:r>
        <w:rPr>
          <w:sz w:val="24"/>
        </w:rPr>
        <w:t>animals,</w:t>
      </w:r>
    </w:p>
    <w:p w14:paraId="1F97FC5B" w14:textId="77777777" w:rsidR="00F54B7E" w:rsidRDefault="00F8294A" w:rsidP="005D1CAB">
      <w:pPr>
        <w:pStyle w:val="ListParagraph"/>
        <w:numPr>
          <w:ilvl w:val="1"/>
          <w:numId w:val="2"/>
        </w:numPr>
        <w:tabs>
          <w:tab w:val="left" w:pos="1541"/>
          <w:tab w:val="left" w:pos="6888"/>
        </w:tabs>
        <w:rPr>
          <w:sz w:val="24"/>
        </w:rPr>
      </w:pPr>
      <w:r>
        <w:rPr>
          <w:sz w:val="24"/>
        </w:rPr>
        <w:t>Do</w:t>
      </w:r>
      <w:r>
        <w:rPr>
          <w:spacing w:val="-3"/>
          <w:sz w:val="24"/>
        </w:rPr>
        <w:t xml:space="preserve"> </w:t>
      </w:r>
      <w:r>
        <w:rPr>
          <w:sz w:val="24"/>
        </w:rPr>
        <w:t>not</w:t>
      </w:r>
      <w:r>
        <w:rPr>
          <w:spacing w:val="-6"/>
          <w:sz w:val="24"/>
        </w:rPr>
        <w:t xml:space="preserve"> </w:t>
      </w:r>
      <w:r>
        <w:rPr>
          <w:sz w:val="24"/>
        </w:rPr>
        <w:t>leave</w:t>
      </w:r>
      <w:r>
        <w:rPr>
          <w:spacing w:val="-3"/>
          <w:sz w:val="24"/>
        </w:rPr>
        <w:t xml:space="preserve"> </w:t>
      </w:r>
      <w:r>
        <w:rPr>
          <w:sz w:val="24"/>
        </w:rPr>
        <w:t>unweaned/nursing</w:t>
      </w:r>
      <w:r>
        <w:rPr>
          <w:spacing w:val="-5"/>
          <w:sz w:val="24"/>
        </w:rPr>
        <w:t xml:space="preserve"> </w:t>
      </w:r>
      <w:r>
        <w:rPr>
          <w:sz w:val="24"/>
        </w:rPr>
        <w:t>pups</w:t>
      </w:r>
      <w:r>
        <w:rPr>
          <w:spacing w:val="-4"/>
          <w:sz w:val="24"/>
        </w:rPr>
        <w:t xml:space="preserve"> </w:t>
      </w:r>
      <w:r>
        <w:rPr>
          <w:sz w:val="24"/>
        </w:rPr>
        <w:t>without</w:t>
      </w:r>
      <w:r>
        <w:rPr>
          <w:spacing w:val="-6"/>
          <w:sz w:val="24"/>
        </w:rPr>
        <w:t xml:space="preserve"> </w:t>
      </w:r>
      <w:r>
        <w:rPr>
          <w:sz w:val="24"/>
        </w:rPr>
        <w:t>their</w:t>
      </w:r>
      <w:r>
        <w:rPr>
          <w:spacing w:val="-33"/>
          <w:sz w:val="24"/>
        </w:rPr>
        <w:t xml:space="preserve"> </w:t>
      </w:r>
      <w:r>
        <w:rPr>
          <w:sz w:val="24"/>
        </w:rPr>
        <w:t>dam,</w:t>
      </w:r>
    </w:p>
    <w:p w14:paraId="24B8F3C5" w14:textId="0441321E" w:rsidR="00F54B7E" w:rsidRPr="00223275" w:rsidRDefault="00223275" w:rsidP="00223275">
      <w:pPr>
        <w:tabs>
          <w:tab w:val="left" w:pos="1541"/>
          <w:tab w:val="left" w:pos="6888"/>
        </w:tabs>
        <w:ind w:left="1180"/>
        <w:rPr>
          <w:sz w:val="24"/>
        </w:rPr>
      </w:pPr>
      <w:r w:rsidRPr="00223275">
        <w:rPr>
          <w:sz w:val="24"/>
        </w:rPr>
        <w:t xml:space="preserve">d. </w:t>
      </w:r>
      <w:r>
        <w:rPr>
          <w:sz w:val="24"/>
        </w:rPr>
        <w:t xml:space="preserve"> </w:t>
      </w:r>
      <w:r w:rsidR="00F8294A" w:rsidRPr="00223275">
        <w:rPr>
          <w:sz w:val="24"/>
        </w:rPr>
        <w:t>Do not leave rodents that have been exposed to</w:t>
      </w:r>
      <w:r w:rsidR="00F8294A" w:rsidRPr="00223275">
        <w:rPr>
          <w:spacing w:val="-29"/>
          <w:sz w:val="24"/>
        </w:rPr>
        <w:t xml:space="preserve"> </w:t>
      </w:r>
      <w:r w:rsidR="00F8294A" w:rsidRPr="00223275">
        <w:rPr>
          <w:sz w:val="24"/>
        </w:rPr>
        <w:t>hazards</w:t>
      </w:r>
    </w:p>
    <w:p w14:paraId="30DFAD0E" w14:textId="18FABF8F" w:rsidR="00BE3D4A" w:rsidRPr="00223275" w:rsidRDefault="00BE3D4A" w:rsidP="00223275">
      <w:pPr>
        <w:pStyle w:val="ListParagraph"/>
        <w:tabs>
          <w:tab w:val="left" w:pos="1541"/>
          <w:tab w:val="left" w:pos="6888"/>
        </w:tabs>
        <w:ind w:left="1540" w:firstLine="0"/>
        <w:rPr>
          <w:b/>
          <w:sz w:val="24"/>
        </w:rPr>
      </w:pPr>
      <w:r w:rsidRPr="00223275">
        <w:rPr>
          <w:b/>
          <w:sz w:val="24"/>
        </w:rPr>
        <w:t>Do not combine cages of mice.</w:t>
      </w:r>
    </w:p>
    <w:p w14:paraId="666C95B2" w14:textId="77777777" w:rsidR="00F54B7E" w:rsidRDefault="00F54B7E" w:rsidP="005D1CAB">
      <w:pPr>
        <w:pStyle w:val="BodyText"/>
        <w:tabs>
          <w:tab w:val="left" w:pos="6888"/>
        </w:tabs>
        <w:spacing w:before="10"/>
        <w:rPr>
          <w:sz w:val="21"/>
        </w:rPr>
      </w:pPr>
    </w:p>
    <w:p w14:paraId="608BDE90" w14:textId="29473E8B" w:rsidR="00F54B7E" w:rsidRDefault="00F8294A" w:rsidP="005D1CAB">
      <w:pPr>
        <w:pStyle w:val="BodyText"/>
        <w:tabs>
          <w:tab w:val="left" w:pos="6888"/>
        </w:tabs>
        <w:spacing w:before="1"/>
        <w:ind w:left="100"/>
      </w:pPr>
      <w:r>
        <w:rPr>
          <w:b/>
        </w:rPr>
        <w:t xml:space="preserve">IMPORTANT: </w:t>
      </w:r>
      <w:r>
        <w:t>Unintended recovery of rodents after apparent death from CO</w:t>
      </w:r>
      <w:r>
        <w:rPr>
          <w:sz w:val="16"/>
        </w:rPr>
        <w:t xml:space="preserve">2 </w:t>
      </w:r>
      <w:r>
        <w:t>(e.g., in a necropsy cooler, morgue cooler, morgue freezer) is a serious noncompliance</w:t>
      </w:r>
      <w:r w:rsidR="007A4B80">
        <w:t xml:space="preserve"> </w:t>
      </w:r>
      <w:r>
        <w:t xml:space="preserve">issue. This is why it is imperative that death is verified by a secondary method. Unintended recoveries will be reported to NIH’s Office of Laboratory Animal Welfare and could result in loss of your privileges to work with animals. For more information refer to </w:t>
      </w:r>
      <w:hyperlink r:id="rId7">
        <w:r>
          <w:rPr>
            <w:color w:val="0000FF"/>
            <w:u w:val="single" w:color="0000FF"/>
          </w:rPr>
          <w:t>http://grants.nih.gov/grants</w:t>
        </w:r>
        <w:r>
          <w:rPr>
            <w:color w:val="0000FF"/>
            <w:u w:val="single" w:color="0000FF"/>
          </w:rPr>
          <w:t>/</w:t>
        </w:r>
        <w:r>
          <w:rPr>
            <w:color w:val="0000FF"/>
            <w:u w:val="single" w:color="0000FF"/>
          </w:rPr>
          <w:t>guide/notice-files/NOT-OD-02-062.html</w:t>
        </w:r>
      </w:hyperlink>
      <w:r>
        <w:t>.</w:t>
      </w:r>
    </w:p>
    <w:p w14:paraId="70E6260F" w14:textId="77777777" w:rsidR="00F54B7E" w:rsidRDefault="00F54B7E" w:rsidP="005D1CAB">
      <w:pPr>
        <w:pStyle w:val="BodyText"/>
        <w:tabs>
          <w:tab w:val="left" w:pos="6888"/>
        </w:tabs>
        <w:spacing w:before="2"/>
        <w:rPr>
          <w:sz w:val="16"/>
        </w:rPr>
      </w:pPr>
    </w:p>
    <w:p w14:paraId="484EEEEE" w14:textId="77777777" w:rsidR="00F54B7E" w:rsidRDefault="00F8294A" w:rsidP="005D1CAB">
      <w:pPr>
        <w:pStyle w:val="BodyText"/>
        <w:tabs>
          <w:tab w:val="left" w:pos="6888"/>
        </w:tabs>
        <w:spacing w:before="92"/>
        <w:ind w:left="100"/>
      </w:pPr>
      <w:r>
        <w:t>References</w:t>
      </w:r>
    </w:p>
    <w:p w14:paraId="17310671" w14:textId="77777777" w:rsidR="00F54B7E" w:rsidRDefault="00F8294A" w:rsidP="005D1CAB">
      <w:pPr>
        <w:pStyle w:val="ListParagraph"/>
        <w:numPr>
          <w:ilvl w:val="0"/>
          <w:numId w:val="1"/>
        </w:numPr>
        <w:tabs>
          <w:tab w:val="left" w:pos="821"/>
          <w:tab w:val="left" w:pos="6888"/>
        </w:tabs>
        <w:spacing w:before="2"/>
      </w:pPr>
      <w:r>
        <w:rPr>
          <w:sz w:val="24"/>
        </w:rPr>
        <w:t xml:space="preserve">AVMA Guidelines for the Euthanasia of Animals: 2020 Edition. </w:t>
      </w:r>
      <w:r>
        <w:rPr>
          <w:spacing w:val="-1"/>
        </w:rPr>
        <w:t>https://</w:t>
      </w:r>
      <w:hyperlink r:id="rId8">
        <w:r>
          <w:rPr>
            <w:spacing w:val="-1"/>
          </w:rPr>
          <w:t>www.avma.org/sites/default/files/2020-</w:t>
        </w:r>
      </w:hyperlink>
      <w:r>
        <w:rPr>
          <w:spacing w:val="-1"/>
        </w:rPr>
        <w:t xml:space="preserve"> </w:t>
      </w:r>
      <w:r>
        <w:t>01/2020_Euthanasia_Final_1-15-20.pdf</w:t>
      </w:r>
    </w:p>
    <w:p w14:paraId="4ED0D8B1" w14:textId="77777777" w:rsidR="00F54B7E" w:rsidRDefault="00F8294A" w:rsidP="005D1CAB">
      <w:pPr>
        <w:pStyle w:val="ListParagraph"/>
        <w:numPr>
          <w:ilvl w:val="0"/>
          <w:numId w:val="1"/>
        </w:numPr>
        <w:tabs>
          <w:tab w:val="left" w:pos="821"/>
          <w:tab w:val="left" w:pos="6888"/>
        </w:tabs>
        <w:rPr>
          <w:sz w:val="24"/>
        </w:rPr>
      </w:pPr>
      <w:r>
        <w:rPr>
          <w:sz w:val="24"/>
        </w:rPr>
        <w:t>OLAW FAQ F 1. Is the use of carbon dioxide as an acceptable euthanasia agent?</w:t>
      </w:r>
      <w:r>
        <w:rPr>
          <w:spacing w:val="-29"/>
          <w:sz w:val="24"/>
        </w:rPr>
        <w:t xml:space="preserve"> </w:t>
      </w:r>
      <w:hyperlink r:id="rId9">
        <w:r>
          <w:rPr>
            <w:color w:val="0000FF"/>
            <w:sz w:val="24"/>
            <w:u w:val="single" w:color="0000FF"/>
          </w:rPr>
          <w:t>https://olaw.nih.gov/guidance/faqs</w:t>
        </w:r>
      </w:hyperlink>
    </w:p>
    <w:sectPr w:rsidR="00F54B7E" w:rsidSect="00130BB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756D"/>
    <w:multiLevelType w:val="hybridMultilevel"/>
    <w:tmpl w:val="64D2480E"/>
    <w:lvl w:ilvl="0" w:tplc="CEF8A480">
      <w:start w:val="1"/>
      <w:numFmt w:val="decimal"/>
      <w:lvlText w:val="%1."/>
      <w:lvlJc w:val="left"/>
      <w:pPr>
        <w:ind w:left="820" w:hanging="360"/>
        <w:jc w:val="left"/>
      </w:pPr>
      <w:rPr>
        <w:rFonts w:ascii="Arial" w:eastAsia="Arial" w:hAnsi="Arial" w:cs="Arial" w:hint="default"/>
        <w:spacing w:val="-8"/>
        <w:w w:val="98"/>
        <w:sz w:val="24"/>
        <w:szCs w:val="24"/>
      </w:rPr>
    </w:lvl>
    <w:lvl w:ilvl="1" w:tplc="434065FE">
      <w:numFmt w:val="bullet"/>
      <w:lvlText w:val="•"/>
      <w:lvlJc w:val="left"/>
      <w:pPr>
        <w:ind w:left="1650" w:hanging="360"/>
      </w:pPr>
      <w:rPr>
        <w:rFonts w:hint="default"/>
      </w:rPr>
    </w:lvl>
    <w:lvl w:ilvl="2" w:tplc="4DC0369A">
      <w:numFmt w:val="bullet"/>
      <w:lvlText w:val="•"/>
      <w:lvlJc w:val="left"/>
      <w:pPr>
        <w:ind w:left="2480" w:hanging="360"/>
      </w:pPr>
      <w:rPr>
        <w:rFonts w:hint="default"/>
      </w:rPr>
    </w:lvl>
    <w:lvl w:ilvl="3" w:tplc="409E41B6">
      <w:numFmt w:val="bullet"/>
      <w:lvlText w:val="•"/>
      <w:lvlJc w:val="left"/>
      <w:pPr>
        <w:ind w:left="3310" w:hanging="360"/>
      </w:pPr>
      <w:rPr>
        <w:rFonts w:hint="default"/>
      </w:rPr>
    </w:lvl>
    <w:lvl w:ilvl="4" w:tplc="4EDEF5BA">
      <w:numFmt w:val="bullet"/>
      <w:lvlText w:val="•"/>
      <w:lvlJc w:val="left"/>
      <w:pPr>
        <w:ind w:left="4140" w:hanging="360"/>
      </w:pPr>
      <w:rPr>
        <w:rFonts w:hint="default"/>
      </w:rPr>
    </w:lvl>
    <w:lvl w:ilvl="5" w:tplc="8972685C">
      <w:numFmt w:val="bullet"/>
      <w:lvlText w:val="•"/>
      <w:lvlJc w:val="left"/>
      <w:pPr>
        <w:ind w:left="4970" w:hanging="360"/>
      </w:pPr>
      <w:rPr>
        <w:rFonts w:hint="default"/>
      </w:rPr>
    </w:lvl>
    <w:lvl w:ilvl="6" w:tplc="0DAE4AAC">
      <w:numFmt w:val="bullet"/>
      <w:lvlText w:val="•"/>
      <w:lvlJc w:val="left"/>
      <w:pPr>
        <w:ind w:left="5800" w:hanging="360"/>
      </w:pPr>
      <w:rPr>
        <w:rFonts w:hint="default"/>
      </w:rPr>
    </w:lvl>
    <w:lvl w:ilvl="7" w:tplc="3880167A">
      <w:numFmt w:val="bullet"/>
      <w:lvlText w:val="•"/>
      <w:lvlJc w:val="left"/>
      <w:pPr>
        <w:ind w:left="6630" w:hanging="360"/>
      </w:pPr>
      <w:rPr>
        <w:rFonts w:hint="default"/>
      </w:rPr>
    </w:lvl>
    <w:lvl w:ilvl="8" w:tplc="A1B2CD04">
      <w:numFmt w:val="bullet"/>
      <w:lvlText w:val="•"/>
      <w:lvlJc w:val="left"/>
      <w:pPr>
        <w:ind w:left="7460" w:hanging="360"/>
      </w:pPr>
      <w:rPr>
        <w:rFonts w:hint="default"/>
      </w:rPr>
    </w:lvl>
  </w:abstractNum>
  <w:abstractNum w:abstractNumId="1" w15:restartNumberingAfterBreak="0">
    <w:nsid w:val="5FFB5C27"/>
    <w:multiLevelType w:val="hybridMultilevel"/>
    <w:tmpl w:val="1B9C8B1C"/>
    <w:lvl w:ilvl="0" w:tplc="38AA4B02">
      <w:start w:val="1"/>
      <w:numFmt w:val="decimal"/>
      <w:lvlText w:val="%1."/>
      <w:lvlJc w:val="left"/>
      <w:pPr>
        <w:ind w:left="840" w:hanging="360"/>
        <w:jc w:val="left"/>
      </w:pPr>
      <w:rPr>
        <w:rFonts w:ascii="Arial" w:eastAsia="Arial" w:hAnsi="Arial" w:cs="Arial" w:hint="default"/>
        <w:b w:val="0"/>
        <w:spacing w:val="-5"/>
        <w:w w:val="98"/>
        <w:sz w:val="24"/>
        <w:szCs w:val="24"/>
      </w:rPr>
    </w:lvl>
    <w:lvl w:ilvl="1" w:tplc="779C2192">
      <w:start w:val="1"/>
      <w:numFmt w:val="lowerLetter"/>
      <w:lvlText w:val="%2."/>
      <w:lvlJc w:val="left"/>
      <w:pPr>
        <w:ind w:left="1540" w:hanging="360"/>
        <w:jc w:val="left"/>
      </w:pPr>
      <w:rPr>
        <w:rFonts w:hint="default"/>
        <w:spacing w:val="-5"/>
        <w:w w:val="98"/>
      </w:rPr>
    </w:lvl>
    <w:lvl w:ilvl="2" w:tplc="54943270">
      <w:numFmt w:val="bullet"/>
      <w:lvlText w:val="•"/>
      <w:lvlJc w:val="left"/>
      <w:pPr>
        <w:ind w:left="1560" w:hanging="360"/>
      </w:pPr>
      <w:rPr>
        <w:rFonts w:hint="default"/>
      </w:rPr>
    </w:lvl>
    <w:lvl w:ilvl="3" w:tplc="83000D06">
      <w:numFmt w:val="bullet"/>
      <w:lvlText w:val="•"/>
      <w:lvlJc w:val="left"/>
      <w:pPr>
        <w:ind w:left="2515" w:hanging="360"/>
      </w:pPr>
      <w:rPr>
        <w:rFonts w:hint="default"/>
      </w:rPr>
    </w:lvl>
    <w:lvl w:ilvl="4" w:tplc="DD7C5DC4">
      <w:numFmt w:val="bullet"/>
      <w:lvlText w:val="•"/>
      <w:lvlJc w:val="left"/>
      <w:pPr>
        <w:ind w:left="3470" w:hanging="360"/>
      </w:pPr>
      <w:rPr>
        <w:rFonts w:hint="default"/>
      </w:rPr>
    </w:lvl>
    <w:lvl w:ilvl="5" w:tplc="7DE2DB10">
      <w:numFmt w:val="bullet"/>
      <w:lvlText w:val="•"/>
      <w:lvlJc w:val="left"/>
      <w:pPr>
        <w:ind w:left="4425" w:hanging="360"/>
      </w:pPr>
      <w:rPr>
        <w:rFonts w:hint="default"/>
      </w:rPr>
    </w:lvl>
    <w:lvl w:ilvl="6" w:tplc="A028A0C8">
      <w:numFmt w:val="bullet"/>
      <w:lvlText w:val="•"/>
      <w:lvlJc w:val="left"/>
      <w:pPr>
        <w:ind w:left="5380" w:hanging="360"/>
      </w:pPr>
      <w:rPr>
        <w:rFonts w:hint="default"/>
      </w:rPr>
    </w:lvl>
    <w:lvl w:ilvl="7" w:tplc="A616262A">
      <w:numFmt w:val="bullet"/>
      <w:lvlText w:val="•"/>
      <w:lvlJc w:val="left"/>
      <w:pPr>
        <w:ind w:left="6335" w:hanging="360"/>
      </w:pPr>
      <w:rPr>
        <w:rFonts w:hint="default"/>
      </w:rPr>
    </w:lvl>
    <w:lvl w:ilvl="8" w:tplc="928EEC3E">
      <w:numFmt w:val="bullet"/>
      <w:lvlText w:val="•"/>
      <w:lvlJc w:val="left"/>
      <w:pPr>
        <w:ind w:left="7290" w:hanging="360"/>
      </w:pPr>
      <w:rPr>
        <w:rFonts w:hint="default"/>
      </w:rPr>
    </w:lvl>
  </w:abstractNum>
  <w:num w:numId="1" w16cid:durableId="1690133836">
    <w:abstractNumId w:val="0"/>
  </w:num>
  <w:num w:numId="2" w16cid:durableId="93613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7E"/>
    <w:rsid w:val="000E23FC"/>
    <w:rsid w:val="00130BB5"/>
    <w:rsid w:val="00181286"/>
    <w:rsid w:val="001A5C50"/>
    <w:rsid w:val="00223275"/>
    <w:rsid w:val="004712A8"/>
    <w:rsid w:val="00496A62"/>
    <w:rsid w:val="005D1CAB"/>
    <w:rsid w:val="005E036A"/>
    <w:rsid w:val="0062775D"/>
    <w:rsid w:val="007A4B80"/>
    <w:rsid w:val="008C359A"/>
    <w:rsid w:val="00921699"/>
    <w:rsid w:val="009F2DF7"/>
    <w:rsid w:val="00AB35F2"/>
    <w:rsid w:val="00B13CA4"/>
    <w:rsid w:val="00B85767"/>
    <w:rsid w:val="00BE3D4A"/>
    <w:rsid w:val="00C2317B"/>
    <w:rsid w:val="00D76EB2"/>
    <w:rsid w:val="00D83087"/>
    <w:rsid w:val="00E65A0A"/>
    <w:rsid w:val="00F23C79"/>
    <w:rsid w:val="00F45F5C"/>
    <w:rsid w:val="00F54B7E"/>
    <w:rsid w:val="00F8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48A4"/>
  <w15:docId w15:val="{22068024-2705-4E56-A5C5-D3FBF367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171" w:right="2230"/>
      <w:jc w:val="center"/>
      <w:outlineLvl w:val="0"/>
    </w:pPr>
    <w:rPr>
      <w:b/>
      <w:bCs/>
      <w:sz w:val="24"/>
      <w:szCs w:val="24"/>
    </w:rPr>
  </w:style>
  <w:style w:type="paragraph" w:styleId="Heading2">
    <w:name w:val="heading 2"/>
    <w:basedOn w:val="Normal"/>
    <w:uiPriority w:val="1"/>
    <w:qFormat/>
    <w:pPr>
      <w:ind w:left="1560" w:right="99" w:hanging="3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83087"/>
    <w:rPr>
      <w:sz w:val="16"/>
      <w:szCs w:val="16"/>
    </w:rPr>
  </w:style>
  <w:style w:type="paragraph" w:styleId="CommentText">
    <w:name w:val="annotation text"/>
    <w:basedOn w:val="Normal"/>
    <w:link w:val="CommentTextChar"/>
    <w:uiPriority w:val="99"/>
    <w:unhideWhenUsed/>
    <w:rsid w:val="00D83087"/>
    <w:rPr>
      <w:sz w:val="20"/>
      <w:szCs w:val="20"/>
    </w:rPr>
  </w:style>
  <w:style w:type="character" w:customStyle="1" w:styleId="CommentTextChar">
    <w:name w:val="Comment Text Char"/>
    <w:basedOn w:val="DefaultParagraphFont"/>
    <w:link w:val="CommentText"/>
    <w:uiPriority w:val="99"/>
    <w:rsid w:val="00D830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3087"/>
    <w:rPr>
      <w:b/>
      <w:bCs/>
    </w:rPr>
  </w:style>
  <w:style w:type="character" w:customStyle="1" w:styleId="CommentSubjectChar">
    <w:name w:val="Comment Subject Char"/>
    <w:basedOn w:val="CommentTextChar"/>
    <w:link w:val="CommentSubject"/>
    <w:uiPriority w:val="99"/>
    <w:semiHidden/>
    <w:rsid w:val="00D83087"/>
    <w:rPr>
      <w:rFonts w:ascii="Arial" w:eastAsia="Arial" w:hAnsi="Arial" w:cs="Arial"/>
      <w:b/>
      <w:bCs/>
      <w:sz w:val="20"/>
      <w:szCs w:val="20"/>
    </w:rPr>
  </w:style>
  <w:style w:type="paragraph" w:styleId="BalloonText">
    <w:name w:val="Balloon Text"/>
    <w:basedOn w:val="Normal"/>
    <w:link w:val="BalloonTextChar"/>
    <w:uiPriority w:val="99"/>
    <w:semiHidden/>
    <w:unhideWhenUsed/>
    <w:rsid w:val="00D83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87"/>
    <w:rPr>
      <w:rFonts w:ascii="Segoe UI" w:eastAsia="Arial" w:hAnsi="Segoe UI" w:cs="Segoe UI"/>
      <w:sz w:val="18"/>
      <w:szCs w:val="18"/>
    </w:rPr>
  </w:style>
  <w:style w:type="paragraph" w:styleId="Revision">
    <w:name w:val="Revision"/>
    <w:hidden/>
    <w:uiPriority w:val="99"/>
    <w:semiHidden/>
    <w:rsid w:val="00F45F5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vma.org/sites/default/files/2020-" TargetMode="External"/><Relationship Id="rId3" Type="http://schemas.openxmlformats.org/officeDocument/2006/relationships/styles" Target="styles.xml"/><Relationship Id="rId7" Type="http://schemas.openxmlformats.org/officeDocument/2006/relationships/hyperlink" Target="http://grants.nih.gov/grants/guide/notice-files/NOT-OD-02-06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mc.rochester.edu/medialibraries/urmcmedia/ucar/policies/documents/neonateeuthanasiaguidelines3-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law.nih.gov/guidance/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03E0-4F69-409E-931E-B8F6CB7A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4921</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 John M</dc:creator>
  <cp:lastModifiedBy>Bucher, Jamie</cp:lastModifiedBy>
  <cp:revision>3</cp:revision>
  <dcterms:created xsi:type="dcterms:W3CDTF">2026-02-19T17:33:00Z</dcterms:created>
  <dcterms:modified xsi:type="dcterms:W3CDTF">2026-03-18T19:42:00Z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15 for Word</vt:lpwstr>
  </property>
  <property fmtid="{D5CDD505-2E9C-101B-9397-08002B2CF9AE}" pid="4" name="LastSaved">
    <vt:filetime>2020-02-20T00:00:00Z</vt:filetime>
  </property>
  <property fmtid="{D5CDD505-2E9C-101B-9397-08002B2CF9AE}" pid="5" name="GrammarlyDocumentId">
    <vt:lpwstr>fa1f0df95b82614cf4e936c11e13c3641ad26c4581d5d2ba5902b0a0ef42825a</vt:lpwstr>
  </property>
</Properties>
</file>