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BAA2C" w14:textId="77777777" w:rsidR="00EF3B17" w:rsidRPr="00BC325F" w:rsidRDefault="00EF3B17" w:rsidP="00EF3B17">
      <w:pPr>
        <w:spacing w:after="240"/>
        <w:jc w:val="center"/>
        <w:rPr>
          <w:rFonts w:eastAsia="Times New Roman"/>
          <w:b/>
          <w:sz w:val="24"/>
          <w:szCs w:val="24"/>
          <w:lang w:bidi="ar-SA"/>
        </w:rPr>
      </w:pPr>
      <w:r w:rsidRPr="00BC325F">
        <w:rPr>
          <w:rFonts w:eastAsia="Times New Roman"/>
          <w:b/>
        </w:rPr>
        <w:t>Policy on Supplemental Heating Devices</w:t>
      </w:r>
    </w:p>
    <w:p w14:paraId="1A3C467C" w14:textId="77777777" w:rsidR="00EF3B17" w:rsidRDefault="00EF3B17" w:rsidP="00EF3B17">
      <w:pPr>
        <w:pBdr>
          <w:top w:val="nil"/>
          <w:left w:val="nil"/>
          <w:bottom w:val="nil"/>
          <w:right w:val="nil"/>
          <w:between w:val="nil"/>
        </w:pBdr>
        <w:rPr>
          <w:b/>
          <w:color w:val="000000"/>
          <w:sz w:val="24"/>
          <w:szCs w:val="24"/>
        </w:rPr>
      </w:pPr>
    </w:p>
    <w:p w14:paraId="1568B720" w14:textId="77777777" w:rsidR="00EF3B17" w:rsidRDefault="00EF3B17" w:rsidP="00EF3B17">
      <w:pPr>
        <w:pBdr>
          <w:top w:val="nil"/>
          <w:left w:val="nil"/>
          <w:bottom w:val="nil"/>
          <w:right w:val="nil"/>
          <w:between w:val="nil"/>
        </w:pBdr>
        <w:spacing w:before="9"/>
        <w:rPr>
          <w:b/>
          <w:color w:val="000000"/>
          <w:sz w:val="19"/>
          <w:szCs w:val="19"/>
        </w:rPr>
      </w:pPr>
    </w:p>
    <w:p w14:paraId="6D460351" w14:textId="77777777" w:rsidR="00EF3B17" w:rsidRDefault="00EF3B17" w:rsidP="00EF3B17">
      <w:pPr>
        <w:ind w:left="119" w:right="99"/>
        <w:rPr>
          <w:b/>
        </w:rPr>
      </w:pPr>
      <w:r>
        <w:t xml:space="preserve">Investigators who anesthetize animals for experimental manipulations (e.g. surgery, imaging, specimen collection) are encouraged to use a supplemental heat source in order to avoid hypothermia and to hasten recovery time. </w:t>
      </w:r>
      <w:r>
        <w:br/>
      </w:r>
      <w:r>
        <w:br/>
        <w:t xml:space="preserve">Because electrical heating pads have uneven temperature gradients across their surface and/or may malfunction, they can cause thermal injury. </w:t>
      </w:r>
      <w:r>
        <w:rPr>
          <w:b/>
        </w:rPr>
        <w:t>Due to this potential hazard, the use of electrical heating pads is not permitted for any University of Rochester research animals, except in the following circumstances:</w:t>
      </w:r>
    </w:p>
    <w:p w14:paraId="31FA1936" w14:textId="77777777" w:rsidR="00EF3B17" w:rsidRDefault="00EF3B17" w:rsidP="00EF3B17">
      <w:pPr>
        <w:numPr>
          <w:ilvl w:val="0"/>
          <w:numId w:val="1"/>
        </w:numPr>
        <w:ind w:right="99"/>
        <w:rPr>
          <w:color w:val="000000"/>
        </w:rPr>
      </w:pPr>
      <w:r>
        <w:t>When placed under a cage containing 0.5cm deep bedding.</w:t>
      </w:r>
    </w:p>
    <w:p w14:paraId="62A5FDEA" w14:textId="77777777" w:rsidR="00EF3B17" w:rsidRPr="000E4AB8" w:rsidRDefault="00EF3B17" w:rsidP="00EF3B17">
      <w:pPr>
        <w:numPr>
          <w:ilvl w:val="0"/>
          <w:numId w:val="1"/>
        </w:numPr>
        <w:ind w:right="99"/>
        <w:rPr>
          <w:color w:val="000000"/>
        </w:rPr>
      </w:pPr>
      <w:r>
        <w:t>When placed under a 0.5cm thick sheet of plexiglass or a ceramic tile. UCAR recommends using liquid crystal strip thermometers on top of these surfaces to monitor the temperature.</w:t>
      </w:r>
    </w:p>
    <w:p w14:paraId="150AD6EC" w14:textId="77777777" w:rsidR="00EF3B17" w:rsidRDefault="00EF3B17" w:rsidP="00EF3B17">
      <w:pPr>
        <w:pBdr>
          <w:top w:val="nil"/>
          <w:left w:val="nil"/>
          <w:bottom w:val="nil"/>
          <w:right w:val="nil"/>
          <w:between w:val="nil"/>
        </w:pBdr>
        <w:spacing w:before="1"/>
        <w:ind w:right="141"/>
        <w:rPr>
          <w:color w:val="000000"/>
        </w:rPr>
      </w:pPr>
      <w:r>
        <w:rPr>
          <w:color w:val="000000"/>
        </w:rPr>
        <w:t>The use of materials such as paper towels, surgical towels, or blue absorbent pads between an electrical heating pad and an animal is insufficient to protect animals from thermal injury.</w:t>
      </w:r>
    </w:p>
    <w:p w14:paraId="5BE3D833" w14:textId="77777777" w:rsidR="00EF3B17" w:rsidRDefault="00EF3B17" w:rsidP="00EF3B17">
      <w:pPr>
        <w:pBdr>
          <w:top w:val="nil"/>
          <w:left w:val="nil"/>
          <w:bottom w:val="nil"/>
          <w:right w:val="nil"/>
          <w:between w:val="nil"/>
        </w:pBdr>
        <w:spacing w:before="1"/>
        <w:ind w:left="120" w:right="141"/>
        <w:rPr>
          <w:color w:val="000000"/>
        </w:rPr>
      </w:pPr>
    </w:p>
    <w:p w14:paraId="4EEA0CC5" w14:textId="77777777" w:rsidR="00EF3B17" w:rsidRDefault="00EF3B17" w:rsidP="00EF3B17">
      <w:pPr>
        <w:pBdr>
          <w:top w:val="nil"/>
          <w:left w:val="nil"/>
          <w:bottom w:val="nil"/>
          <w:right w:val="nil"/>
          <w:between w:val="nil"/>
        </w:pBdr>
        <w:spacing w:before="1"/>
        <w:ind w:left="120" w:right="141"/>
        <w:rPr>
          <w:b/>
          <w:color w:val="000000"/>
        </w:rPr>
      </w:pPr>
      <w:r w:rsidRPr="00043C14">
        <w:rPr>
          <w:b/>
          <w:i/>
          <w:color w:val="000000"/>
        </w:rPr>
        <w:t>Acceptable supplemental heating devices</w:t>
      </w:r>
      <w:r w:rsidRPr="00043C14">
        <w:rPr>
          <w:b/>
          <w:color w:val="000000"/>
        </w:rPr>
        <w:t xml:space="preserve"> </w:t>
      </w:r>
    </w:p>
    <w:p w14:paraId="03F8BF28" w14:textId="77777777" w:rsidR="00EF3B17" w:rsidRPr="000E4AB8" w:rsidRDefault="00EF3B17" w:rsidP="00EF3B17">
      <w:pPr>
        <w:pBdr>
          <w:top w:val="nil"/>
          <w:left w:val="nil"/>
          <w:bottom w:val="nil"/>
          <w:right w:val="nil"/>
          <w:between w:val="nil"/>
        </w:pBdr>
        <w:spacing w:before="1"/>
        <w:ind w:left="120" w:right="141"/>
        <w:rPr>
          <w:b/>
          <w:color w:val="000000"/>
        </w:rPr>
      </w:pPr>
    </w:p>
    <w:p w14:paraId="78CA0FFC" w14:textId="77777777" w:rsidR="00EF3B17" w:rsidRPr="000E4AB8" w:rsidRDefault="00EF3B17" w:rsidP="00EF3B17">
      <w:pPr>
        <w:pBdr>
          <w:top w:val="nil"/>
          <w:left w:val="nil"/>
          <w:bottom w:val="nil"/>
          <w:right w:val="nil"/>
          <w:between w:val="nil"/>
        </w:pBdr>
        <w:spacing w:before="1"/>
        <w:ind w:right="141"/>
        <w:rPr>
          <w:color w:val="000000"/>
        </w:rPr>
      </w:pPr>
      <w:r w:rsidRPr="000E4AB8">
        <w:rPr>
          <w:color w:val="000000"/>
        </w:rPr>
        <w:t>Heating devices that deliver a controlled temperature are preferred. Examples include:</w:t>
      </w:r>
    </w:p>
    <w:p w14:paraId="7AD4280F" w14:textId="77777777" w:rsidR="00EF3B17" w:rsidRDefault="00EF3B17" w:rsidP="00EF3B17">
      <w:pPr>
        <w:pStyle w:val="ListParagraph"/>
        <w:numPr>
          <w:ilvl w:val="0"/>
          <w:numId w:val="2"/>
        </w:numPr>
        <w:pBdr>
          <w:top w:val="nil"/>
          <w:left w:val="nil"/>
          <w:bottom w:val="nil"/>
          <w:right w:val="nil"/>
          <w:between w:val="nil"/>
        </w:pBdr>
        <w:spacing w:before="1"/>
        <w:ind w:right="141"/>
        <w:rPr>
          <w:color w:val="000000"/>
        </w:rPr>
      </w:pPr>
      <w:r w:rsidRPr="000E4AB8">
        <w:rPr>
          <w:color w:val="000000"/>
        </w:rPr>
        <w:t xml:space="preserve">warm water blankets and circulators (e.g. </w:t>
      </w:r>
      <w:proofErr w:type="spellStart"/>
      <w:r w:rsidRPr="000E4AB8">
        <w:rPr>
          <w:color w:val="000000"/>
        </w:rPr>
        <w:t>Gaymar</w:t>
      </w:r>
      <w:proofErr w:type="spellEnd"/>
      <w:r w:rsidRPr="000E4AB8">
        <w:rPr>
          <w:color w:val="000000"/>
        </w:rPr>
        <w:t>)</w:t>
      </w:r>
    </w:p>
    <w:p w14:paraId="3811CED8" w14:textId="77777777" w:rsidR="00EF3B17" w:rsidRDefault="00EF3B17" w:rsidP="00EF3B17">
      <w:pPr>
        <w:pStyle w:val="ListParagraph"/>
        <w:numPr>
          <w:ilvl w:val="0"/>
          <w:numId w:val="2"/>
        </w:numPr>
        <w:pBdr>
          <w:top w:val="nil"/>
          <w:left w:val="nil"/>
          <w:bottom w:val="nil"/>
          <w:right w:val="nil"/>
          <w:between w:val="nil"/>
        </w:pBdr>
        <w:spacing w:before="1"/>
        <w:ind w:right="141"/>
        <w:rPr>
          <w:color w:val="000000"/>
        </w:rPr>
      </w:pPr>
      <w:r w:rsidRPr="00043C14">
        <w:rPr>
          <w:color w:val="000000"/>
        </w:rPr>
        <w:t>forced air animal warmers (e.g. “Bair Huggers”)</w:t>
      </w:r>
    </w:p>
    <w:p w14:paraId="1E391700" w14:textId="77777777" w:rsidR="00EF3B17" w:rsidRDefault="00EF3B17" w:rsidP="00EF3B17">
      <w:pPr>
        <w:pStyle w:val="ListParagraph"/>
        <w:numPr>
          <w:ilvl w:val="0"/>
          <w:numId w:val="2"/>
        </w:numPr>
        <w:pBdr>
          <w:top w:val="nil"/>
          <w:left w:val="nil"/>
          <w:bottom w:val="nil"/>
          <w:right w:val="nil"/>
          <w:between w:val="nil"/>
        </w:pBdr>
        <w:spacing w:before="1"/>
        <w:ind w:right="141"/>
        <w:rPr>
          <w:color w:val="000000"/>
        </w:rPr>
      </w:pPr>
      <w:r w:rsidRPr="000E4AB8">
        <w:rPr>
          <w:color w:val="000000"/>
        </w:rPr>
        <w:t>far infrared warming pads</w:t>
      </w:r>
    </w:p>
    <w:p w14:paraId="0F342F5F" w14:textId="77777777" w:rsidR="00EF3B17" w:rsidRDefault="00EF3B17" w:rsidP="00EF3B17">
      <w:pPr>
        <w:pStyle w:val="ListParagraph"/>
        <w:numPr>
          <w:ilvl w:val="0"/>
          <w:numId w:val="2"/>
        </w:numPr>
        <w:pBdr>
          <w:top w:val="nil"/>
          <w:left w:val="nil"/>
          <w:bottom w:val="nil"/>
          <w:right w:val="nil"/>
          <w:between w:val="nil"/>
        </w:pBdr>
        <w:spacing w:before="1"/>
        <w:ind w:right="141"/>
        <w:rPr>
          <w:color w:val="000000"/>
        </w:rPr>
      </w:pPr>
      <w:r w:rsidRPr="000E4AB8">
        <w:rPr>
          <w:color w:val="000000"/>
        </w:rPr>
        <w:t>rodent warmers (e.g. Stoelting)</w:t>
      </w:r>
    </w:p>
    <w:p w14:paraId="600A1737" w14:textId="77777777" w:rsidR="00EF3B17" w:rsidRDefault="00EF3B17" w:rsidP="00EF3B17">
      <w:pPr>
        <w:pStyle w:val="ListParagraph"/>
        <w:numPr>
          <w:ilvl w:val="0"/>
          <w:numId w:val="2"/>
        </w:numPr>
        <w:pBdr>
          <w:top w:val="nil"/>
          <w:left w:val="nil"/>
          <w:bottom w:val="nil"/>
          <w:right w:val="nil"/>
          <w:between w:val="nil"/>
        </w:pBdr>
        <w:spacing w:before="1"/>
        <w:ind w:right="141"/>
        <w:rPr>
          <w:color w:val="000000"/>
        </w:rPr>
      </w:pPr>
      <w:proofErr w:type="spellStart"/>
      <w:r>
        <w:rPr>
          <w:color w:val="000000"/>
        </w:rPr>
        <w:t>Deltaphase</w:t>
      </w:r>
      <w:proofErr w:type="spellEnd"/>
      <w:r>
        <w:rPr>
          <w:color w:val="000000"/>
        </w:rPr>
        <w:t xml:space="preserve"> isothermal pad </w:t>
      </w:r>
    </w:p>
    <w:p w14:paraId="7E2992A9" w14:textId="77777777" w:rsidR="00EF3B17" w:rsidRDefault="00EF3B17" w:rsidP="00EF3B17">
      <w:pPr>
        <w:pStyle w:val="ListParagraph"/>
        <w:numPr>
          <w:ilvl w:val="0"/>
          <w:numId w:val="2"/>
        </w:numPr>
        <w:pBdr>
          <w:top w:val="nil"/>
          <w:left w:val="nil"/>
          <w:bottom w:val="nil"/>
          <w:right w:val="nil"/>
          <w:between w:val="nil"/>
        </w:pBdr>
        <w:spacing w:before="1"/>
        <w:ind w:right="141"/>
        <w:rPr>
          <w:color w:val="000000"/>
        </w:rPr>
      </w:pPr>
      <w:r>
        <w:rPr>
          <w:color w:val="000000"/>
        </w:rPr>
        <w:t>Slide warmer (set to &lt;43C)</w:t>
      </w:r>
    </w:p>
    <w:p w14:paraId="1BEC5D00" w14:textId="77777777" w:rsidR="00EF3B17" w:rsidRDefault="00EF3B17" w:rsidP="00EF3B17">
      <w:pPr>
        <w:pBdr>
          <w:top w:val="nil"/>
          <w:left w:val="nil"/>
          <w:bottom w:val="nil"/>
          <w:right w:val="nil"/>
          <w:between w:val="nil"/>
        </w:pBdr>
        <w:spacing w:before="1"/>
        <w:ind w:right="141"/>
        <w:rPr>
          <w:color w:val="000000"/>
        </w:rPr>
      </w:pPr>
    </w:p>
    <w:p w14:paraId="55B8895D" w14:textId="77777777" w:rsidR="00EF3B17" w:rsidRDefault="00EF3B17" w:rsidP="00EF3B17">
      <w:pPr>
        <w:pBdr>
          <w:top w:val="nil"/>
          <w:left w:val="nil"/>
          <w:bottom w:val="nil"/>
          <w:right w:val="nil"/>
          <w:between w:val="nil"/>
        </w:pBdr>
        <w:spacing w:before="1"/>
        <w:ind w:right="141"/>
        <w:rPr>
          <w:color w:val="000000"/>
        </w:rPr>
      </w:pPr>
      <w:r>
        <w:rPr>
          <w:color w:val="000000"/>
        </w:rPr>
        <w:t>Other devices m</w:t>
      </w:r>
      <w:r w:rsidRPr="000E4AB8">
        <w:rPr>
          <w:color w:val="000000"/>
        </w:rPr>
        <w:t>ay be used with caution. Their use should be reserved for situations in which preferred devices cannot be used (</w:t>
      </w:r>
      <w:r>
        <w:rPr>
          <w:color w:val="000000"/>
        </w:rPr>
        <w:t xml:space="preserve">e.g. during </w:t>
      </w:r>
      <w:r w:rsidRPr="000E4AB8">
        <w:rPr>
          <w:color w:val="000000"/>
        </w:rPr>
        <w:t xml:space="preserve">transport, MRI imaging) or when additional heat is needed to maintain the animal’s core body temperature. </w:t>
      </w:r>
    </w:p>
    <w:p w14:paraId="237A8FC0" w14:textId="77777777" w:rsidR="00EF3B17" w:rsidRDefault="00EF3B17" w:rsidP="00EF3B17">
      <w:pPr>
        <w:pStyle w:val="ListParagraph"/>
        <w:numPr>
          <w:ilvl w:val="0"/>
          <w:numId w:val="3"/>
        </w:numPr>
        <w:pBdr>
          <w:top w:val="nil"/>
          <w:left w:val="nil"/>
          <w:bottom w:val="nil"/>
          <w:right w:val="nil"/>
          <w:between w:val="nil"/>
        </w:pBdr>
        <w:spacing w:before="1"/>
        <w:ind w:right="141"/>
        <w:rPr>
          <w:color w:val="000000"/>
        </w:rPr>
      </w:pPr>
      <w:r>
        <w:rPr>
          <w:color w:val="000000"/>
        </w:rPr>
        <w:t>Precautions to</w:t>
      </w:r>
      <w:r w:rsidRPr="000E4AB8">
        <w:rPr>
          <w:color w:val="000000"/>
        </w:rPr>
        <w:t xml:space="preserve"> prevent thermal injury</w:t>
      </w:r>
    </w:p>
    <w:p w14:paraId="2FE97FDC" w14:textId="77777777" w:rsidR="00EF3B17" w:rsidRDefault="00EF3B17" w:rsidP="00EF3B17">
      <w:pPr>
        <w:pStyle w:val="ListParagraph"/>
        <w:numPr>
          <w:ilvl w:val="1"/>
          <w:numId w:val="3"/>
        </w:numPr>
        <w:pBdr>
          <w:top w:val="nil"/>
          <w:left w:val="nil"/>
          <w:bottom w:val="nil"/>
          <w:right w:val="nil"/>
          <w:between w:val="nil"/>
        </w:pBdr>
        <w:spacing w:before="1"/>
        <w:ind w:right="141"/>
        <w:rPr>
          <w:color w:val="000000"/>
        </w:rPr>
      </w:pPr>
      <w:r>
        <w:rPr>
          <w:color w:val="000000"/>
        </w:rPr>
        <w:t>T</w:t>
      </w:r>
      <w:r w:rsidRPr="000E4AB8">
        <w:rPr>
          <w:color w:val="000000"/>
        </w:rPr>
        <w:t xml:space="preserve">horoughly </w:t>
      </w:r>
      <w:r>
        <w:rPr>
          <w:color w:val="000000"/>
        </w:rPr>
        <w:t>mix/</w:t>
      </w:r>
      <w:r w:rsidRPr="000E4AB8">
        <w:rPr>
          <w:color w:val="000000"/>
        </w:rPr>
        <w:t>agitate the device to</w:t>
      </w:r>
      <w:r>
        <w:rPr>
          <w:color w:val="000000"/>
        </w:rPr>
        <w:t xml:space="preserve"> ensure an even temperature across the surface of the heat source.</w:t>
      </w:r>
    </w:p>
    <w:p w14:paraId="2BDADCDC" w14:textId="77777777" w:rsidR="00EF3B17" w:rsidRDefault="00EF3B17" w:rsidP="00EF3B17">
      <w:pPr>
        <w:pStyle w:val="ListParagraph"/>
        <w:numPr>
          <w:ilvl w:val="1"/>
          <w:numId w:val="3"/>
        </w:numPr>
        <w:pBdr>
          <w:top w:val="nil"/>
          <w:left w:val="nil"/>
          <w:bottom w:val="nil"/>
          <w:right w:val="nil"/>
          <w:between w:val="nil"/>
        </w:pBdr>
        <w:spacing w:before="1"/>
        <w:ind w:right="141"/>
        <w:rPr>
          <w:color w:val="000000"/>
        </w:rPr>
      </w:pPr>
      <w:r>
        <w:rPr>
          <w:color w:val="000000"/>
        </w:rPr>
        <w:t>W</w:t>
      </w:r>
      <w:r w:rsidRPr="000E4AB8">
        <w:rPr>
          <w:color w:val="000000"/>
        </w:rPr>
        <w:t>rap the heat source in a thick insulating layer (</w:t>
      </w:r>
      <w:r>
        <w:rPr>
          <w:color w:val="000000"/>
        </w:rPr>
        <w:t>0.5cm</w:t>
      </w:r>
      <w:r w:rsidRPr="000E4AB8">
        <w:rPr>
          <w:color w:val="000000"/>
        </w:rPr>
        <w:t xml:space="preserve"> thickness) </w:t>
      </w:r>
      <w:r>
        <w:rPr>
          <w:color w:val="000000"/>
        </w:rPr>
        <w:t>of a protective material such as bubble wrap, drapes, towels or blankets</w:t>
      </w:r>
    </w:p>
    <w:p w14:paraId="0657B7C5" w14:textId="77777777" w:rsidR="00EF3B17" w:rsidRDefault="00EF3B17" w:rsidP="00EF3B17">
      <w:pPr>
        <w:pStyle w:val="ListParagraph"/>
        <w:numPr>
          <w:ilvl w:val="1"/>
          <w:numId w:val="3"/>
        </w:numPr>
        <w:pBdr>
          <w:top w:val="nil"/>
          <w:left w:val="nil"/>
          <w:bottom w:val="nil"/>
          <w:right w:val="nil"/>
          <w:between w:val="nil"/>
        </w:pBdr>
        <w:spacing w:before="1"/>
        <w:ind w:right="141"/>
        <w:rPr>
          <w:color w:val="000000"/>
        </w:rPr>
      </w:pPr>
      <w:r>
        <w:rPr>
          <w:color w:val="000000"/>
        </w:rPr>
        <w:t xml:space="preserve">Place wrapped heat sources against furred skin </w:t>
      </w:r>
    </w:p>
    <w:p w14:paraId="6E31BDDB" w14:textId="77777777" w:rsidR="00EF3B17" w:rsidRDefault="00EF3B17" w:rsidP="00EF3B17">
      <w:pPr>
        <w:pStyle w:val="ListParagraph"/>
        <w:numPr>
          <w:ilvl w:val="1"/>
          <w:numId w:val="3"/>
        </w:numPr>
        <w:pBdr>
          <w:top w:val="nil"/>
          <w:left w:val="nil"/>
          <w:bottom w:val="nil"/>
          <w:right w:val="nil"/>
          <w:between w:val="nil"/>
        </w:pBdr>
        <w:spacing w:before="1"/>
        <w:ind w:right="141"/>
        <w:rPr>
          <w:color w:val="000000"/>
        </w:rPr>
      </w:pPr>
      <w:r>
        <w:rPr>
          <w:color w:val="000000"/>
        </w:rPr>
        <w:t>Measure the surface temperature</w:t>
      </w:r>
    </w:p>
    <w:p w14:paraId="054D6ABB" w14:textId="77777777" w:rsidR="00EF3B17" w:rsidRDefault="00EF3B17" w:rsidP="00EF3B17">
      <w:pPr>
        <w:pStyle w:val="ListParagraph"/>
        <w:numPr>
          <w:ilvl w:val="0"/>
          <w:numId w:val="3"/>
        </w:numPr>
        <w:pBdr>
          <w:top w:val="nil"/>
          <w:left w:val="nil"/>
          <w:bottom w:val="nil"/>
          <w:right w:val="nil"/>
          <w:between w:val="nil"/>
        </w:pBdr>
        <w:spacing w:before="1"/>
        <w:ind w:right="141"/>
        <w:rPr>
          <w:color w:val="000000"/>
        </w:rPr>
      </w:pPr>
      <w:r>
        <w:rPr>
          <w:color w:val="000000"/>
        </w:rPr>
        <w:t>Examples</w:t>
      </w:r>
    </w:p>
    <w:p w14:paraId="06043844" w14:textId="77777777" w:rsidR="00EF3B17" w:rsidRDefault="00EF3B17" w:rsidP="00EF3B17">
      <w:pPr>
        <w:pStyle w:val="ListParagraph"/>
        <w:numPr>
          <w:ilvl w:val="1"/>
          <w:numId w:val="2"/>
        </w:numPr>
        <w:pBdr>
          <w:top w:val="nil"/>
          <w:left w:val="nil"/>
          <w:bottom w:val="nil"/>
          <w:right w:val="nil"/>
          <w:between w:val="nil"/>
        </w:pBdr>
        <w:spacing w:before="1"/>
        <w:ind w:right="141"/>
        <w:rPr>
          <w:color w:val="000000"/>
        </w:rPr>
      </w:pPr>
      <w:r w:rsidRPr="000E4AB8">
        <w:rPr>
          <w:color w:val="000000"/>
        </w:rPr>
        <w:t>microwavable warming pads (e.g. SnuggleSafe</w:t>
      </w:r>
      <w:r>
        <w:rPr>
          <w:color w:val="000000"/>
        </w:rPr>
        <w:t>, K&amp;H</w:t>
      </w:r>
      <w:r w:rsidRPr="000E4AB8">
        <w:rPr>
          <w:color w:val="000000"/>
        </w:rPr>
        <w:t>)</w:t>
      </w:r>
    </w:p>
    <w:p w14:paraId="6AEF423F" w14:textId="77777777" w:rsidR="00EF3B17" w:rsidRDefault="00EF3B17" w:rsidP="00EF3B17">
      <w:pPr>
        <w:pStyle w:val="ListParagraph"/>
        <w:numPr>
          <w:ilvl w:val="1"/>
          <w:numId w:val="2"/>
        </w:numPr>
        <w:pBdr>
          <w:top w:val="nil"/>
          <w:left w:val="nil"/>
          <w:bottom w:val="nil"/>
          <w:right w:val="nil"/>
          <w:between w:val="nil"/>
        </w:pBdr>
        <w:spacing w:before="1"/>
        <w:ind w:right="141"/>
        <w:rPr>
          <w:color w:val="000000"/>
        </w:rPr>
      </w:pPr>
      <w:r w:rsidRPr="000E4AB8">
        <w:rPr>
          <w:color w:val="000000"/>
        </w:rPr>
        <w:t>thermal gel packs (e.g. Space Gel)</w:t>
      </w:r>
    </w:p>
    <w:p w14:paraId="77CD57E8" w14:textId="77777777" w:rsidR="00EF3B17" w:rsidRDefault="00EF3B17" w:rsidP="00EF3B17">
      <w:pPr>
        <w:pStyle w:val="ListParagraph"/>
        <w:numPr>
          <w:ilvl w:val="1"/>
          <w:numId w:val="2"/>
        </w:numPr>
        <w:pBdr>
          <w:top w:val="nil"/>
          <w:left w:val="nil"/>
          <w:bottom w:val="nil"/>
          <w:right w:val="nil"/>
          <w:between w:val="nil"/>
        </w:pBdr>
        <w:spacing w:before="1"/>
        <w:ind w:right="141"/>
        <w:rPr>
          <w:color w:val="000000"/>
        </w:rPr>
      </w:pPr>
      <w:r w:rsidRPr="000E4AB8">
        <w:rPr>
          <w:color w:val="000000"/>
        </w:rPr>
        <w:t>hot water bottles</w:t>
      </w:r>
    </w:p>
    <w:p w14:paraId="1BB24436" w14:textId="77777777" w:rsidR="00EF3B17" w:rsidRDefault="00EF3B17" w:rsidP="00EF3B17">
      <w:pPr>
        <w:pStyle w:val="ListParagraph"/>
        <w:numPr>
          <w:ilvl w:val="1"/>
          <w:numId w:val="2"/>
        </w:numPr>
        <w:pBdr>
          <w:top w:val="nil"/>
          <w:left w:val="nil"/>
          <w:bottom w:val="nil"/>
          <w:right w:val="nil"/>
          <w:between w:val="nil"/>
        </w:pBdr>
        <w:spacing w:before="1"/>
        <w:ind w:right="141"/>
        <w:rPr>
          <w:color w:val="000000"/>
        </w:rPr>
      </w:pPr>
      <w:r w:rsidRPr="000E4AB8">
        <w:rPr>
          <w:color w:val="000000"/>
        </w:rPr>
        <w:t>hot rice bottles</w:t>
      </w:r>
    </w:p>
    <w:p w14:paraId="20EF98DF" w14:textId="77777777" w:rsidR="00EF3B17" w:rsidRDefault="00EF3B17" w:rsidP="00EF3B17">
      <w:pPr>
        <w:pStyle w:val="ListParagraph"/>
        <w:numPr>
          <w:ilvl w:val="1"/>
          <w:numId w:val="2"/>
        </w:numPr>
        <w:pBdr>
          <w:top w:val="nil"/>
          <w:left w:val="nil"/>
          <w:bottom w:val="nil"/>
          <w:right w:val="nil"/>
          <w:between w:val="nil"/>
        </w:pBdr>
        <w:spacing w:before="1"/>
        <w:ind w:right="141"/>
        <w:rPr>
          <w:color w:val="000000"/>
        </w:rPr>
      </w:pPr>
      <w:r w:rsidRPr="000E4AB8">
        <w:rPr>
          <w:color w:val="000000"/>
        </w:rPr>
        <w:t>instant heating devices (e.g. “Safe and Warm”)</w:t>
      </w:r>
    </w:p>
    <w:p w14:paraId="22C860E8" w14:textId="77777777" w:rsidR="00EF3B17" w:rsidRPr="000E4AB8" w:rsidRDefault="00EF3B17" w:rsidP="00EF3B17">
      <w:pPr>
        <w:pStyle w:val="ListParagraph"/>
        <w:numPr>
          <w:ilvl w:val="1"/>
          <w:numId w:val="2"/>
        </w:numPr>
        <w:pBdr>
          <w:top w:val="nil"/>
          <w:left w:val="nil"/>
          <w:bottom w:val="nil"/>
          <w:right w:val="nil"/>
          <w:between w:val="nil"/>
        </w:pBdr>
        <w:spacing w:before="1"/>
        <w:ind w:right="141"/>
        <w:rPr>
          <w:color w:val="000000"/>
        </w:rPr>
      </w:pPr>
      <w:r w:rsidRPr="000E4AB8">
        <w:rPr>
          <w:color w:val="000000"/>
        </w:rPr>
        <w:t>heat lamps</w:t>
      </w:r>
      <w:r>
        <w:rPr>
          <w:color w:val="000000"/>
        </w:rPr>
        <w:t xml:space="preserve"> positioned above an enclosure</w:t>
      </w:r>
      <w:r w:rsidRPr="000E4AB8">
        <w:rPr>
          <w:color w:val="000000"/>
        </w:rPr>
        <w:t xml:space="preserve"> </w:t>
      </w:r>
    </w:p>
    <w:p w14:paraId="7C3A591A" w14:textId="77777777" w:rsidR="00EF3B17" w:rsidRDefault="00EF3B17" w:rsidP="00EF3B17">
      <w:pPr>
        <w:pBdr>
          <w:top w:val="nil"/>
          <w:left w:val="nil"/>
          <w:bottom w:val="nil"/>
          <w:right w:val="nil"/>
          <w:between w:val="nil"/>
        </w:pBdr>
        <w:spacing w:before="1"/>
        <w:ind w:left="120" w:right="141"/>
        <w:rPr>
          <w:color w:val="000000"/>
        </w:rPr>
      </w:pPr>
    </w:p>
    <w:p w14:paraId="65793CD2" w14:textId="77777777" w:rsidR="00EF3B17" w:rsidRDefault="00EF3B17" w:rsidP="00EF3B17">
      <w:pPr>
        <w:pBdr>
          <w:top w:val="nil"/>
          <w:left w:val="nil"/>
          <w:bottom w:val="nil"/>
          <w:right w:val="nil"/>
          <w:between w:val="nil"/>
        </w:pBdr>
        <w:spacing w:before="1"/>
        <w:ind w:left="120" w:right="141"/>
        <w:rPr>
          <w:color w:val="000000"/>
        </w:rPr>
      </w:pPr>
      <w:r>
        <w:rPr>
          <w:color w:val="000000"/>
        </w:rPr>
        <w:t xml:space="preserve">Any heat source has the potential to cause thermal injury, </w:t>
      </w:r>
      <w:r w:rsidRPr="00BC325F">
        <w:rPr>
          <w:color w:val="000000"/>
        </w:rPr>
        <w:t>even when exposed to a heat source just a few degrees above body temperature over a longer period of time.</w:t>
      </w:r>
      <w:r>
        <w:rPr>
          <w:color w:val="000000"/>
        </w:rPr>
        <w:t xml:space="preserve"> Regardless of the method used, remember to monitor animals closely to ensure that they do not sustain a </w:t>
      </w:r>
      <w:r>
        <w:rPr>
          <w:color w:val="000000"/>
        </w:rPr>
        <w:lastRenderedPageBreak/>
        <w:t xml:space="preserve">thermal injury (skin reddening) or become hyperthermic (elevated core body temperature, increased respiratory rate). </w:t>
      </w:r>
    </w:p>
    <w:p w14:paraId="771F2039" w14:textId="77777777" w:rsidR="00EF3B17" w:rsidRDefault="00EF3B17" w:rsidP="00EF3B17">
      <w:pPr>
        <w:pBdr>
          <w:top w:val="nil"/>
          <w:left w:val="nil"/>
          <w:bottom w:val="nil"/>
          <w:right w:val="nil"/>
          <w:between w:val="nil"/>
        </w:pBdr>
        <w:spacing w:before="1"/>
        <w:ind w:left="120" w:right="141"/>
        <w:rPr>
          <w:color w:val="000000"/>
        </w:rPr>
      </w:pPr>
    </w:p>
    <w:p w14:paraId="0024260B" w14:textId="77777777" w:rsidR="00EF3B17" w:rsidRDefault="00EF3B17" w:rsidP="00EF3B17">
      <w:pPr>
        <w:pBdr>
          <w:top w:val="nil"/>
          <w:left w:val="nil"/>
          <w:bottom w:val="nil"/>
          <w:right w:val="nil"/>
          <w:between w:val="nil"/>
        </w:pBdr>
        <w:spacing w:before="1"/>
        <w:ind w:left="120" w:right="141"/>
        <w:rPr>
          <w:color w:val="000000"/>
        </w:rPr>
      </w:pPr>
      <w:r>
        <w:rPr>
          <w:color w:val="000000"/>
        </w:rPr>
        <w:t>Regardless of the device in use, if it appears to be in disrepair, or is not working as expected, it should be immediately discarded.  Microwavable gel devices have a limited lifetime and over time may need more time in the microwave to heat the gel.  The result may be uneven heating with localized hotspots that are much warmer than the other areas of the pad.  If the pad is older, or you notice that it takes longer to heat it to the proper temperature it should be discarded.</w:t>
      </w:r>
    </w:p>
    <w:p w14:paraId="05D426E0" w14:textId="77777777" w:rsidR="00EF3B17" w:rsidRDefault="00EF3B17" w:rsidP="00EF3B17">
      <w:pPr>
        <w:pBdr>
          <w:top w:val="nil"/>
          <w:left w:val="nil"/>
          <w:bottom w:val="nil"/>
          <w:right w:val="nil"/>
          <w:between w:val="nil"/>
        </w:pBdr>
        <w:spacing w:before="1"/>
        <w:ind w:left="120" w:right="141"/>
        <w:rPr>
          <w:color w:val="000000"/>
        </w:rPr>
      </w:pPr>
    </w:p>
    <w:p w14:paraId="36E41FAA" w14:textId="77777777" w:rsidR="00EF3B17" w:rsidRDefault="00EF3B17" w:rsidP="00EF3B17">
      <w:pPr>
        <w:pBdr>
          <w:top w:val="nil"/>
          <w:left w:val="nil"/>
          <w:bottom w:val="nil"/>
          <w:right w:val="nil"/>
          <w:between w:val="nil"/>
        </w:pBdr>
        <w:spacing w:before="1"/>
        <w:ind w:left="120" w:right="141"/>
        <w:rPr>
          <w:color w:val="000000"/>
        </w:rPr>
      </w:pPr>
      <w:r>
        <w:rPr>
          <w:color w:val="000000"/>
        </w:rPr>
        <w:t>All devices must be used following manufacturer’s recommendations regarding duration of heating, lifespan/replacement and/or maintenance.</w:t>
      </w:r>
    </w:p>
    <w:p w14:paraId="689F9F1F" w14:textId="77777777" w:rsidR="00EF3B17" w:rsidRDefault="00EF3B17" w:rsidP="00EF3B17">
      <w:pPr>
        <w:pBdr>
          <w:top w:val="nil"/>
          <w:left w:val="nil"/>
          <w:bottom w:val="nil"/>
          <w:right w:val="nil"/>
          <w:between w:val="nil"/>
        </w:pBdr>
        <w:spacing w:before="1"/>
        <w:ind w:left="120" w:right="141"/>
        <w:rPr>
          <w:color w:val="000000"/>
        </w:rPr>
      </w:pPr>
    </w:p>
    <w:p w14:paraId="4EA86491" w14:textId="77777777" w:rsidR="00EF3B17" w:rsidRDefault="00EF3B17" w:rsidP="00EF3B17">
      <w:pPr>
        <w:pBdr>
          <w:top w:val="nil"/>
          <w:left w:val="nil"/>
          <w:bottom w:val="nil"/>
          <w:right w:val="nil"/>
          <w:between w:val="nil"/>
        </w:pBdr>
        <w:ind w:left="120" w:right="709"/>
        <w:rPr>
          <w:color w:val="000000"/>
        </w:rPr>
      </w:pPr>
      <w:r>
        <w:rPr>
          <w:color w:val="000000"/>
        </w:rPr>
        <w:t>If you would like information about any heating methods, please contact DCM veterinary staff at X5-2651.</w:t>
      </w:r>
    </w:p>
    <w:p w14:paraId="2D26F5A1" w14:textId="77777777" w:rsidR="00EF3B17" w:rsidRDefault="00EF3B17" w:rsidP="00EF3B17">
      <w:pPr>
        <w:pBdr>
          <w:top w:val="nil"/>
          <w:left w:val="nil"/>
          <w:bottom w:val="nil"/>
          <w:right w:val="nil"/>
          <w:between w:val="nil"/>
        </w:pBdr>
        <w:rPr>
          <w:color w:val="000000"/>
          <w:sz w:val="24"/>
          <w:szCs w:val="24"/>
        </w:rPr>
      </w:pPr>
    </w:p>
    <w:p w14:paraId="4AA9EAFE" w14:textId="77777777" w:rsidR="00EF3B17" w:rsidRDefault="00EF3B17" w:rsidP="00EF3B17">
      <w:pPr>
        <w:pBdr>
          <w:top w:val="nil"/>
          <w:left w:val="nil"/>
          <w:bottom w:val="nil"/>
          <w:right w:val="nil"/>
          <w:between w:val="nil"/>
        </w:pBdr>
        <w:rPr>
          <w:color w:val="000000"/>
          <w:sz w:val="24"/>
          <w:szCs w:val="24"/>
        </w:rPr>
      </w:pPr>
    </w:p>
    <w:p w14:paraId="73A8F361" w14:textId="77777777" w:rsidR="00EF3B17" w:rsidRDefault="00EF3B17" w:rsidP="00EF3B17">
      <w:pPr>
        <w:pBdr>
          <w:top w:val="nil"/>
          <w:left w:val="nil"/>
          <w:bottom w:val="nil"/>
          <w:right w:val="nil"/>
          <w:between w:val="nil"/>
        </w:pBdr>
        <w:spacing w:before="208"/>
        <w:ind w:left="120"/>
        <w:rPr>
          <w:color w:val="000000"/>
        </w:rPr>
      </w:pPr>
      <w:r>
        <w:rPr>
          <w:color w:val="000000"/>
        </w:rPr>
        <w:t>Effective March 16, 2007</w:t>
      </w:r>
    </w:p>
    <w:p w14:paraId="338DB9AA" w14:textId="77777777" w:rsidR="00EF3B17" w:rsidRDefault="00EF3B17" w:rsidP="00EF3B17">
      <w:pPr>
        <w:ind w:firstLine="120"/>
      </w:pPr>
      <w:bookmarkStart w:id="0" w:name="_heading=h.gjdgxs" w:colFirst="0" w:colLast="0"/>
      <w:bookmarkEnd w:id="0"/>
      <w:r>
        <w:t xml:space="preserve">Updated, Reviewed and Approved by UCAR </w:t>
      </w:r>
      <w:r>
        <w:rPr>
          <w:color w:val="000000"/>
        </w:rPr>
        <w:t>June 15, 2022</w:t>
      </w:r>
    </w:p>
    <w:p w14:paraId="5F18781C" w14:textId="77777777" w:rsidR="00BC5F9B" w:rsidRDefault="00BC5F9B"/>
    <w:sectPr w:rsidR="00BC5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7725"/>
    <w:multiLevelType w:val="hybridMultilevel"/>
    <w:tmpl w:val="10E2EF64"/>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3B770704"/>
    <w:multiLevelType w:val="multilevel"/>
    <w:tmpl w:val="ACF243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164109C"/>
    <w:multiLevelType w:val="hybridMultilevel"/>
    <w:tmpl w:val="C5BE8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2851677">
    <w:abstractNumId w:val="1"/>
  </w:num>
  <w:num w:numId="2" w16cid:durableId="787437117">
    <w:abstractNumId w:val="0"/>
  </w:num>
  <w:num w:numId="3" w16cid:durableId="548877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B17"/>
    <w:rsid w:val="00481D40"/>
    <w:rsid w:val="00BC5F9B"/>
    <w:rsid w:val="00D25242"/>
    <w:rsid w:val="00EF3B17"/>
    <w:rsid w:val="00F23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84D6E"/>
  <w15:chartTrackingRefBased/>
  <w15:docId w15:val="{B05BDAD1-0D3B-45A6-8EC5-976DDF40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F3B17"/>
    <w:pPr>
      <w:widowControl w:val="0"/>
      <w:spacing w:after="0" w:line="240" w:lineRule="auto"/>
    </w:pPr>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2850</Characters>
  <Application>Microsoft Office Word</Application>
  <DocSecurity>0</DocSecurity>
  <Lines>68</Lines>
  <Paragraphs>32</Paragraphs>
  <ScaleCrop>false</ScaleCrop>
  <Company>URMC</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Zakaria, John M</dc:creator>
  <cp:keywords/>
  <dc:description/>
  <cp:lastModifiedBy>Bucher, Jamie</cp:lastModifiedBy>
  <cp:revision>3</cp:revision>
  <dcterms:created xsi:type="dcterms:W3CDTF">2022-06-15T16:16:00Z</dcterms:created>
  <dcterms:modified xsi:type="dcterms:W3CDTF">2026-03-19T16:54:00Z</dcterms:modified>
</cp:coreProperties>
</file>