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0A514" w14:textId="77777777" w:rsidR="00BA5A29" w:rsidRDefault="00FA23EE">
      <w:pPr>
        <w:pStyle w:val="BodyText"/>
        <w:spacing w:before="69"/>
        <w:ind w:left="2075" w:right="2090"/>
        <w:jc w:val="center"/>
      </w:pPr>
      <w:r>
        <w:t xml:space="preserve">University of Rochester Committee on Animal Resources </w:t>
      </w:r>
    </w:p>
    <w:p w14:paraId="27AD5C48" w14:textId="5F01ED12" w:rsidR="00F97734" w:rsidRDefault="00B86B3D">
      <w:pPr>
        <w:pStyle w:val="BodyText"/>
        <w:spacing w:before="69"/>
        <w:ind w:left="2075" w:right="2090"/>
        <w:jc w:val="center"/>
      </w:pPr>
      <w:r>
        <w:t>Mouse and Rat</w:t>
      </w:r>
      <w:r w:rsidR="00BA5A29">
        <w:t xml:space="preserve"> </w:t>
      </w:r>
      <w:r w:rsidR="00FA23EE">
        <w:t xml:space="preserve">Tumor Burden Scoring </w:t>
      </w:r>
      <w:r>
        <w:t>Policy</w:t>
      </w:r>
    </w:p>
    <w:p w14:paraId="40B9F2A0" w14:textId="776A207A" w:rsidR="00F97734" w:rsidRDefault="004B7622">
      <w:pPr>
        <w:pStyle w:val="BodyText"/>
        <w:ind w:left="2075" w:right="2026"/>
        <w:jc w:val="center"/>
      </w:pPr>
      <w:r>
        <w:t xml:space="preserve">Revised – </w:t>
      </w:r>
      <w:r w:rsidR="00D14779">
        <w:t>12/20/23</w:t>
      </w:r>
    </w:p>
    <w:p w14:paraId="389DAE01" w14:textId="77777777" w:rsidR="00F97734" w:rsidRDefault="00F97734">
      <w:pPr>
        <w:pStyle w:val="BodyText"/>
        <w:rPr>
          <w:sz w:val="24"/>
        </w:rPr>
      </w:pPr>
    </w:p>
    <w:p w14:paraId="142939F4" w14:textId="77777777" w:rsidR="00F97734" w:rsidRDefault="00F97734">
      <w:pPr>
        <w:pStyle w:val="BodyText"/>
        <w:spacing w:before="10"/>
        <w:rPr>
          <w:sz w:val="19"/>
        </w:rPr>
      </w:pPr>
    </w:p>
    <w:p w14:paraId="0CA0F41A" w14:textId="77777777" w:rsidR="00F97734" w:rsidRDefault="00FA23EE">
      <w:pPr>
        <w:pStyle w:val="BodyText"/>
        <w:ind w:left="100" w:right="350"/>
      </w:pPr>
      <w:r>
        <w:t>PURPOSE: To establish guidelines for tumor burden scoring to be used in</w:t>
      </w:r>
      <w:r w:rsidR="002470F1">
        <w:t xml:space="preserve"> </w:t>
      </w:r>
      <w:r>
        <w:t>mice and rats</w:t>
      </w:r>
      <w:r w:rsidR="002470F1">
        <w:t xml:space="preserve"> </w:t>
      </w:r>
      <w:r>
        <w:t xml:space="preserve">that develop tumors. While legitimate exceptions to these guidelines are recognized, they must be followed unless a scientifically based exemption is approved by UCAR. These guidelines will allow URMC Principal Investigators, </w:t>
      </w:r>
      <w:r w:rsidR="00464F21">
        <w:t xml:space="preserve">laboratory </w:t>
      </w:r>
      <w:r>
        <w:t>staff and URMC animal care staff to objectively evaluate the health and welfare of animals carrying spontaneous or experimentally-induced tumors and allow for the alleviation of pain and distress associated with these tumors by intervention, including humane euthanasia.</w:t>
      </w:r>
    </w:p>
    <w:p w14:paraId="15C12E3D" w14:textId="77777777" w:rsidR="00F97734" w:rsidRDefault="00F97734">
      <w:pPr>
        <w:pStyle w:val="BodyText"/>
      </w:pPr>
    </w:p>
    <w:p w14:paraId="2F1794C1" w14:textId="77777777" w:rsidR="00F97734" w:rsidRDefault="00FA23EE">
      <w:pPr>
        <w:pStyle w:val="BodyText"/>
        <w:spacing w:before="1"/>
        <w:ind w:left="100"/>
      </w:pPr>
      <w:r>
        <w:t>DEFINITIONS:</w:t>
      </w:r>
    </w:p>
    <w:p w14:paraId="36B28B9A" w14:textId="77777777" w:rsidR="00F97734" w:rsidRDefault="00F97734">
      <w:pPr>
        <w:pStyle w:val="BodyText"/>
      </w:pPr>
    </w:p>
    <w:p w14:paraId="7AA26477" w14:textId="77777777" w:rsidR="00F97734" w:rsidRDefault="00FA23EE">
      <w:pPr>
        <w:pStyle w:val="ListParagraph"/>
        <w:numPr>
          <w:ilvl w:val="0"/>
          <w:numId w:val="5"/>
        </w:numPr>
        <w:tabs>
          <w:tab w:val="left" w:pos="820"/>
          <w:tab w:val="left" w:pos="821"/>
        </w:tabs>
        <w:ind w:right="202"/>
      </w:pPr>
      <w:r>
        <w:t xml:space="preserve">BCS = Body Condition Score on a scale from 1 to 5. (see </w:t>
      </w:r>
      <w:r w:rsidR="002470F1">
        <w:t>figures 1 and 2</w:t>
      </w:r>
      <w:r w:rsidR="00464F21">
        <w:t>)</w:t>
      </w:r>
    </w:p>
    <w:p w14:paraId="42F51B0C" w14:textId="77777777" w:rsidR="00F97734" w:rsidRDefault="00FA23EE">
      <w:pPr>
        <w:pStyle w:val="ListParagraph"/>
        <w:numPr>
          <w:ilvl w:val="0"/>
          <w:numId w:val="5"/>
        </w:numPr>
        <w:tabs>
          <w:tab w:val="left" w:pos="820"/>
          <w:tab w:val="left" w:pos="821"/>
        </w:tabs>
        <w:spacing w:before="1"/>
        <w:ind w:right="1162"/>
      </w:pPr>
      <w:r>
        <w:t>Moribund = Condition in which death is imminent characterized by recumbency, hypothermia and</w:t>
      </w:r>
      <w:r w:rsidR="002470F1">
        <w:t>/or</w:t>
      </w:r>
      <w:r>
        <w:t xml:space="preserve"> lack of</w:t>
      </w:r>
      <w:r>
        <w:rPr>
          <w:spacing w:val="-7"/>
        </w:rPr>
        <w:t xml:space="preserve"> </w:t>
      </w:r>
      <w:r>
        <w:t>response.</w:t>
      </w:r>
    </w:p>
    <w:p w14:paraId="501B71E7" w14:textId="77777777" w:rsidR="00F97734" w:rsidRDefault="00F97734">
      <w:pPr>
        <w:pStyle w:val="BodyText"/>
        <w:spacing w:before="10"/>
        <w:rPr>
          <w:sz w:val="19"/>
        </w:rPr>
      </w:pPr>
    </w:p>
    <w:p w14:paraId="47ED7CE4" w14:textId="57268AA8" w:rsidR="00C73396" w:rsidRDefault="00FA23EE" w:rsidP="00464F21">
      <w:pPr>
        <w:pStyle w:val="BodyText"/>
        <w:spacing w:before="1"/>
        <w:ind w:left="100" w:right="125"/>
      </w:pPr>
      <w:r>
        <w:t xml:space="preserve">RESPONSIBILITY: Principal </w:t>
      </w:r>
      <w:r w:rsidR="00B86B3D">
        <w:t>i</w:t>
      </w:r>
      <w:r>
        <w:t>nvestigators and their designated laboratory personnel, with the assistance and advice of the D</w:t>
      </w:r>
      <w:r w:rsidR="00382191">
        <w:t>C</w:t>
      </w:r>
      <w:r>
        <w:t>M veterinar</w:t>
      </w:r>
      <w:r w:rsidR="002470F1">
        <w:t>y</w:t>
      </w:r>
      <w:r>
        <w:t xml:space="preserve"> staff, have the responsibility for the health and welfare of their experimental animals.</w:t>
      </w:r>
      <w:r w:rsidR="002470F1">
        <w:t xml:space="preserve"> </w:t>
      </w:r>
      <w:r w:rsidR="00B86B3D">
        <w:t>It is expected that i</w:t>
      </w:r>
      <w:r w:rsidR="002470F1">
        <w:t>nvestigators working with tumor models will perform continuous and comprehensive health assessments of test subjects documented and available for review by DCM.</w:t>
      </w:r>
      <w:r w:rsidR="00B86B3D">
        <w:t xml:space="preserve"> Mice or rats that exceed standard endpoints as outlined in this policy must be removed </w:t>
      </w:r>
      <w:r w:rsidR="00464F21">
        <w:t xml:space="preserve">from study </w:t>
      </w:r>
      <w:r w:rsidR="00B86B3D">
        <w:t>promptly. Justification to exceed these endpoints must be approved in advance by UCAR.</w:t>
      </w:r>
    </w:p>
    <w:p w14:paraId="7CDD05B9" w14:textId="77777777" w:rsidR="00464F21" w:rsidRDefault="00464F21" w:rsidP="00464F21">
      <w:pPr>
        <w:pStyle w:val="BodyText"/>
        <w:spacing w:before="1"/>
        <w:ind w:left="100" w:right="125"/>
      </w:pPr>
    </w:p>
    <w:p w14:paraId="463194AD" w14:textId="414A1A3E" w:rsidR="00464F21" w:rsidRDefault="00464F21" w:rsidP="00464F21">
      <w:pPr>
        <w:pStyle w:val="BodyText"/>
        <w:spacing w:before="1"/>
        <w:ind w:left="100" w:right="125"/>
      </w:pPr>
      <w:r>
        <w:t xml:space="preserve">For animals exhibiting clinical signs (e.g. rough coat, hunched posture, declining BCS, diarrhea, jaundice, etc.) that do not yet meet the removal criteria listed below, UCAR recommends consultation with DCM veterinarians to identify interventions that  may enable animals to reach predetermined experimental endpoints. </w:t>
      </w:r>
    </w:p>
    <w:p w14:paraId="77217E18" w14:textId="77777777" w:rsidR="00D75757" w:rsidRDefault="00D75757" w:rsidP="00464F21">
      <w:pPr>
        <w:pStyle w:val="BodyText"/>
        <w:spacing w:before="94"/>
        <w:ind w:right="398"/>
      </w:pPr>
    </w:p>
    <w:p w14:paraId="5AEF6956" w14:textId="77777777" w:rsidR="00C73396" w:rsidRDefault="00D75757" w:rsidP="00464F21">
      <w:pPr>
        <w:pStyle w:val="BodyText"/>
        <w:spacing w:before="94"/>
        <w:ind w:left="90" w:right="398"/>
      </w:pPr>
      <w:r>
        <w:t>REMOVAL CRITERIA</w:t>
      </w:r>
      <w:r w:rsidR="00C73396">
        <w:t>:</w:t>
      </w:r>
    </w:p>
    <w:p w14:paraId="2DA8E395" w14:textId="77777777" w:rsidR="00C73396" w:rsidRDefault="00C73396" w:rsidP="00464F21">
      <w:pPr>
        <w:pStyle w:val="BodyText"/>
        <w:numPr>
          <w:ilvl w:val="0"/>
          <w:numId w:val="6"/>
        </w:numPr>
        <w:spacing w:before="94"/>
        <w:ind w:right="398"/>
      </w:pPr>
      <w:r>
        <w:t xml:space="preserve">Cumulative tumor burden </w:t>
      </w:r>
      <w:r w:rsidR="00464F21" w:rsidRPr="00464F21">
        <w:t>≥</w:t>
      </w:r>
      <w:r>
        <w:t xml:space="preserve">20mm (mice) and </w:t>
      </w:r>
      <w:r w:rsidR="00464F21">
        <w:t>≥</w:t>
      </w:r>
      <w:r>
        <w:t>40mm (rats)</w:t>
      </w:r>
    </w:p>
    <w:p w14:paraId="432F8EB7" w14:textId="77777777" w:rsidR="00C73396" w:rsidRDefault="00C73396" w:rsidP="00464F21">
      <w:pPr>
        <w:pStyle w:val="BodyText"/>
        <w:numPr>
          <w:ilvl w:val="0"/>
          <w:numId w:val="6"/>
        </w:numPr>
        <w:spacing w:before="94"/>
        <w:ind w:right="398"/>
      </w:pPr>
      <w:r>
        <w:t>BCS &lt;2</w:t>
      </w:r>
    </w:p>
    <w:p w14:paraId="1282D62E" w14:textId="77777777" w:rsidR="00C73396" w:rsidRPr="00464F21" w:rsidRDefault="00C73396" w:rsidP="00464F21">
      <w:pPr>
        <w:pStyle w:val="BodyText"/>
        <w:numPr>
          <w:ilvl w:val="0"/>
          <w:numId w:val="6"/>
        </w:numPr>
        <w:spacing w:before="94"/>
        <w:ind w:right="398"/>
      </w:pPr>
      <w:r w:rsidRPr="00464F21">
        <w:t xml:space="preserve">Any ulceration or excoriation </w:t>
      </w:r>
    </w:p>
    <w:p w14:paraId="405F5211" w14:textId="77777777" w:rsidR="00C73396" w:rsidRPr="00464F21" w:rsidRDefault="00C73396" w:rsidP="00464F21">
      <w:pPr>
        <w:pStyle w:val="BodyText"/>
        <w:numPr>
          <w:ilvl w:val="0"/>
          <w:numId w:val="6"/>
        </w:numPr>
        <w:spacing w:before="94"/>
        <w:ind w:right="398"/>
      </w:pPr>
      <w:r w:rsidRPr="00464F21">
        <w:t>Moribund</w:t>
      </w:r>
    </w:p>
    <w:p w14:paraId="23DC2839" w14:textId="77777777" w:rsidR="00C73396" w:rsidRPr="00464F21" w:rsidRDefault="00C73396" w:rsidP="00464F21">
      <w:pPr>
        <w:pStyle w:val="BodyText"/>
        <w:numPr>
          <w:ilvl w:val="0"/>
          <w:numId w:val="6"/>
        </w:numPr>
        <w:spacing w:before="94"/>
        <w:ind w:right="398"/>
      </w:pPr>
      <w:r w:rsidRPr="00464F21">
        <w:t>Respiratory distress</w:t>
      </w:r>
    </w:p>
    <w:p w14:paraId="4FFFE893" w14:textId="77777777" w:rsidR="00C73396" w:rsidRDefault="00C73396" w:rsidP="00464F21">
      <w:pPr>
        <w:pStyle w:val="BodyText"/>
        <w:numPr>
          <w:ilvl w:val="0"/>
          <w:numId w:val="6"/>
        </w:numPr>
        <w:spacing w:before="94"/>
        <w:ind w:right="398"/>
      </w:pPr>
      <w:r>
        <w:t>Tumor interfering with normal movement</w:t>
      </w:r>
    </w:p>
    <w:p w14:paraId="278A2F63" w14:textId="77777777" w:rsidR="00C73396" w:rsidRDefault="00C73396" w:rsidP="00464F21">
      <w:pPr>
        <w:pStyle w:val="BodyText"/>
        <w:numPr>
          <w:ilvl w:val="0"/>
          <w:numId w:val="6"/>
        </w:numPr>
        <w:spacing w:before="94"/>
        <w:ind w:right="398"/>
      </w:pPr>
      <w:r>
        <w:t>Inability to access food or water</w:t>
      </w:r>
    </w:p>
    <w:p w14:paraId="7B48B696" w14:textId="77777777" w:rsidR="00464F21" w:rsidRDefault="00464F21">
      <w:pPr>
        <w:pStyle w:val="BodyText"/>
        <w:spacing w:before="94" w:line="480" w:lineRule="auto"/>
        <w:ind w:left="120" w:right="398"/>
      </w:pPr>
    </w:p>
    <w:p w14:paraId="2F919F97" w14:textId="52DD9756" w:rsidR="00F97734" w:rsidRDefault="00FA23EE">
      <w:pPr>
        <w:pStyle w:val="BodyText"/>
        <w:spacing w:before="94" w:line="480" w:lineRule="auto"/>
        <w:ind w:left="120" w:right="398"/>
      </w:pPr>
      <w:r>
        <w:t>REFERENCES:</w:t>
      </w:r>
    </w:p>
    <w:p w14:paraId="00A42A84" w14:textId="77777777" w:rsidR="00F97734" w:rsidRDefault="00FA23EE">
      <w:pPr>
        <w:pStyle w:val="ListParagraph"/>
        <w:numPr>
          <w:ilvl w:val="0"/>
          <w:numId w:val="3"/>
        </w:numPr>
        <w:tabs>
          <w:tab w:val="left" w:pos="840"/>
          <w:tab w:val="left" w:pos="841"/>
        </w:tabs>
        <w:spacing w:before="5"/>
      </w:pPr>
      <w:r>
        <w:t>Morton and Griffiths (1985), Veterinary Record 116:</w:t>
      </w:r>
      <w:r>
        <w:rPr>
          <w:spacing w:val="47"/>
        </w:rPr>
        <w:t xml:space="preserve"> </w:t>
      </w:r>
      <w:r>
        <w:t>431-43</w:t>
      </w:r>
    </w:p>
    <w:p w14:paraId="34FFC872" w14:textId="77777777" w:rsidR="00F97734" w:rsidRDefault="00FA23EE">
      <w:pPr>
        <w:pStyle w:val="ListParagraph"/>
        <w:numPr>
          <w:ilvl w:val="0"/>
          <w:numId w:val="3"/>
        </w:numPr>
        <w:tabs>
          <w:tab w:val="left" w:pos="840"/>
          <w:tab w:val="left" w:pos="841"/>
        </w:tabs>
        <w:spacing w:before="1"/>
        <w:ind w:right="937"/>
      </w:pPr>
      <w:r>
        <w:t>Dr. Liang Xu and Dr. Marc Lippman permitted the use of their previously described tumor burden scoring system standard operating</w:t>
      </w:r>
      <w:r>
        <w:rPr>
          <w:spacing w:val="-15"/>
        </w:rPr>
        <w:t xml:space="preserve"> </w:t>
      </w:r>
      <w:r>
        <w:t>procedure.</w:t>
      </w:r>
    </w:p>
    <w:p w14:paraId="53B9839F" w14:textId="77777777" w:rsidR="00F97734" w:rsidRDefault="00FA23EE">
      <w:pPr>
        <w:pStyle w:val="ListParagraph"/>
        <w:numPr>
          <w:ilvl w:val="0"/>
          <w:numId w:val="3"/>
        </w:numPr>
        <w:tabs>
          <w:tab w:val="left" w:pos="840"/>
          <w:tab w:val="left" w:pos="841"/>
        </w:tabs>
        <w:spacing w:before="1" w:line="252" w:lineRule="exact"/>
      </w:pPr>
      <w:r>
        <w:t>Wallace J, Humane endpoints in cancer research.  ILAR 41:  79-84,</w:t>
      </w:r>
      <w:r>
        <w:rPr>
          <w:spacing w:val="-19"/>
        </w:rPr>
        <w:t xml:space="preserve"> </w:t>
      </w:r>
      <w:r>
        <w:t>2000.</w:t>
      </w:r>
    </w:p>
    <w:p w14:paraId="0EFB57AC" w14:textId="77777777" w:rsidR="00F97734" w:rsidRDefault="00FA23EE">
      <w:pPr>
        <w:pStyle w:val="ListParagraph"/>
        <w:numPr>
          <w:ilvl w:val="0"/>
          <w:numId w:val="3"/>
        </w:numPr>
        <w:tabs>
          <w:tab w:val="left" w:pos="840"/>
          <w:tab w:val="left" w:pos="841"/>
        </w:tabs>
        <w:spacing w:line="252" w:lineRule="exact"/>
      </w:pPr>
      <w:r>
        <w:t>University of Michigan Tumor Scoring</w:t>
      </w:r>
      <w:r>
        <w:rPr>
          <w:spacing w:val="-9"/>
        </w:rPr>
        <w:t xml:space="preserve"> </w:t>
      </w:r>
      <w:r>
        <w:t>Policy</w:t>
      </w:r>
    </w:p>
    <w:p w14:paraId="5B5F28AA" w14:textId="77777777" w:rsidR="00F97734" w:rsidRDefault="00FA23EE">
      <w:pPr>
        <w:pStyle w:val="ListParagraph"/>
        <w:numPr>
          <w:ilvl w:val="0"/>
          <w:numId w:val="3"/>
        </w:numPr>
        <w:tabs>
          <w:tab w:val="left" w:pos="840"/>
          <w:tab w:val="left" w:pos="841"/>
        </w:tabs>
        <w:spacing w:line="253" w:lineRule="exact"/>
      </w:pPr>
      <w:r>
        <w:t>Emory University Tumor Scoring</w:t>
      </w:r>
      <w:r>
        <w:rPr>
          <w:spacing w:val="-6"/>
        </w:rPr>
        <w:t xml:space="preserve"> </w:t>
      </w:r>
      <w:r>
        <w:t>Policy</w:t>
      </w:r>
    </w:p>
    <w:p w14:paraId="6CA7F106" w14:textId="77777777" w:rsidR="00F97734" w:rsidRDefault="00FA23EE">
      <w:pPr>
        <w:pStyle w:val="ListParagraph"/>
        <w:numPr>
          <w:ilvl w:val="0"/>
          <w:numId w:val="3"/>
        </w:numPr>
        <w:tabs>
          <w:tab w:val="left" w:pos="840"/>
          <w:tab w:val="left" w:pos="841"/>
        </w:tabs>
        <w:spacing w:before="1" w:line="252" w:lineRule="exact"/>
      </w:pPr>
      <w:r>
        <w:t>University of Texas San Antonio Scoring and Endpoints</w:t>
      </w:r>
      <w:r>
        <w:rPr>
          <w:spacing w:val="-12"/>
        </w:rPr>
        <w:t xml:space="preserve"> </w:t>
      </w:r>
      <w:r>
        <w:t>Policy</w:t>
      </w:r>
    </w:p>
    <w:p w14:paraId="01D66945" w14:textId="77777777" w:rsidR="00F97734" w:rsidRDefault="00FA23EE">
      <w:pPr>
        <w:pStyle w:val="ListParagraph"/>
        <w:numPr>
          <w:ilvl w:val="0"/>
          <w:numId w:val="3"/>
        </w:numPr>
        <w:tabs>
          <w:tab w:val="left" w:pos="840"/>
          <w:tab w:val="left" w:pos="841"/>
        </w:tabs>
        <w:ind w:right="1133"/>
      </w:pPr>
      <w:r>
        <w:lastRenderedPageBreak/>
        <w:t>Ullman-</w:t>
      </w:r>
      <w:proofErr w:type="spellStart"/>
      <w:r>
        <w:t>Culleré</w:t>
      </w:r>
      <w:proofErr w:type="spellEnd"/>
      <w:r>
        <w:t xml:space="preserve"> M and Foltz C. Body condition scoring: a rapid and accurate method for assessing health status in mice.  Laboratory Animal Science 49 (3):</w:t>
      </w:r>
      <w:r>
        <w:rPr>
          <w:spacing w:val="44"/>
        </w:rPr>
        <w:t xml:space="preserve"> </w:t>
      </w:r>
      <w:r>
        <w:t>319-323</w:t>
      </w:r>
    </w:p>
    <w:p w14:paraId="7360A794" w14:textId="5A87D6BD" w:rsidR="00D75757" w:rsidRDefault="00D75757" w:rsidP="002111E0">
      <w:pPr>
        <w:pStyle w:val="ListParagraph"/>
        <w:numPr>
          <w:ilvl w:val="0"/>
          <w:numId w:val="3"/>
        </w:numPr>
        <w:sectPr w:rsidR="00D75757">
          <w:footerReference w:type="default" r:id="rId8"/>
          <w:pgSz w:w="12240" w:h="15840"/>
          <w:pgMar w:top="1080" w:right="360" w:bottom="980" w:left="1320" w:header="0" w:footer="791" w:gutter="0"/>
          <w:cols w:space="720"/>
        </w:sectPr>
      </w:pPr>
      <w:r>
        <w:t xml:space="preserve">Hickman D and Swan M. Use of Body Condition Score Technique to </w:t>
      </w:r>
      <w:r w:rsidR="00BA0D68">
        <w:t xml:space="preserve">Assess </w:t>
      </w:r>
      <w:r>
        <w:t xml:space="preserve">Health Status in Rat Model of Polycystic Kidney Disease. JAALAS 49(2): 155-159. </w:t>
      </w:r>
    </w:p>
    <w:p w14:paraId="5E09D824" w14:textId="77777777" w:rsidR="00F97734" w:rsidRDefault="00263676">
      <w:pPr>
        <w:pStyle w:val="BodyText"/>
        <w:spacing w:before="156" w:after="4"/>
        <w:ind w:left="3201" w:right="1548" w:hanging="1652"/>
      </w:pPr>
      <w:r>
        <w:lastRenderedPageBreak/>
        <w:t xml:space="preserve">Figure 1: </w:t>
      </w:r>
      <w:r w:rsidR="00D75757">
        <w:t xml:space="preserve">Mouse </w:t>
      </w:r>
      <w:r w:rsidR="00FA23EE">
        <w:t>Body Condition Scoring (BCS) Guide Taken from M</w:t>
      </w:r>
      <w:r>
        <w:t xml:space="preserve"> </w:t>
      </w:r>
      <w:r w:rsidR="00FA23EE">
        <w:t>Ullman-</w:t>
      </w:r>
      <w:proofErr w:type="spellStart"/>
      <w:r w:rsidR="00FA23EE">
        <w:t>Cullere</w:t>
      </w:r>
      <w:proofErr w:type="spellEnd"/>
      <w:r w:rsidR="00FA23EE">
        <w:t xml:space="preserve"> Laboratory Animal Science, 1999.</w:t>
      </w:r>
    </w:p>
    <w:p w14:paraId="3AB5D530" w14:textId="77777777" w:rsidR="00F97734" w:rsidRDefault="00FA23EE">
      <w:pPr>
        <w:pStyle w:val="BodyText"/>
        <w:ind w:left="101"/>
        <w:rPr>
          <w:sz w:val="20"/>
        </w:rPr>
      </w:pPr>
      <w:r>
        <w:rPr>
          <w:noProof/>
          <w:sz w:val="20"/>
        </w:rPr>
        <w:drawing>
          <wp:inline distT="0" distB="0" distL="0" distR="0" wp14:anchorId="3A2A3DD8" wp14:editId="33E16BA4">
            <wp:extent cx="5069497" cy="7243381"/>
            <wp:effectExtent l="0" t="0" r="0" b="0"/>
            <wp:docPr id="3" name="image3.png" descr="Mouse Body Condition Scoring (BCS) Guide Taken from M Ullman-Cullere Laboratory Animal Science, 1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png" descr="Mouse Body Condition Scoring (BCS) Guide Taken from M Ullman-Cullere Laboratory Animal Science, 1999."/>
                    <pic:cNvPicPr/>
                  </pic:nvPicPr>
                  <pic:blipFill>
                    <a:blip r:embed="rId9" cstate="print"/>
                    <a:stretch>
                      <a:fillRect/>
                    </a:stretch>
                  </pic:blipFill>
                  <pic:spPr>
                    <a:xfrm>
                      <a:off x="0" y="0"/>
                      <a:ext cx="5069497" cy="7243381"/>
                    </a:xfrm>
                    <a:prstGeom prst="rect">
                      <a:avLst/>
                    </a:prstGeom>
                  </pic:spPr>
                </pic:pic>
              </a:graphicData>
            </a:graphic>
          </wp:inline>
        </w:drawing>
      </w:r>
    </w:p>
    <w:p w14:paraId="6CC072CB" w14:textId="77777777" w:rsidR="002470F1" w:rsidRDefault="002470F1">
      <w:pPr>
        <w:pStyle w:val="BodyText"/>
        <w:ind w:left="101"/>
        <w:rPr>
          <w:sz w:val="20"/>
        </w:rPr>
      </w:pPr>
    </w:p>
    <w:p w14:paraId="2E00C637" w14:textId="77777777" w:rsidR="002470F1" w:rsidRDefault="002470F1">
      <w:pPr>
        <w:pStyle w:val="BodyText"/>
        <w:ind w:left="101"/>
        <w:rPr>
          <w:sz w:val="20"/>
        </w:rPr>
      </w:pPr>
    </w:p>
    <w:p w14:paraId="6EC0F82E" w14:textId="77777777" w:rsidR="002470F1" w:rsidRDefault="002470F1">
      <w:pPr>
        <w:pStyle w:val="BodyText"/>
        <w:ind w:left="101"/>
        <w:rPr>
          <w:sz w:val="20"/>
        </w:rPr>
      </w:pPr>
    </w:p>
    <w:p w14:paraId="7BFDF27F" w14:textId="77777777" w:rsidR="002470F1" w:rsidRDefault="002470F1">
      <w:pPr>
        <w:pStyle w:val="BodyText"/>
        <w:ind w:left="101"/>
        <w:rPr>
          <w:sz w:val="20"/>
        </w:rPr>
      </w:pPr>
    </w:p>
    <w:p w14:paraId="584CE0A8" w14:textId="77777777" w:rsidR="002470F1" w:rsidRDefault="002470F1">
      <w:pPr>
        <w:pStyle w:val="BodyText"/>
        <w:ind w:left="101"/>
        <w:rPr>
          <w:sz w:val="20"/>
        </w:rPr>
      </w:pPr>
    </w:p>
    <w:p w14:paraId="185363E0" w14:textId="77777777" w:rsidR="002470F1" w:rsidRDefault="002470F1">
      <w:pPr>
        <w:pStyle w:val="BodyText"/>
        <w:ind w:left="101"/>
        <w:rPr>
          <w:sz w:val="20"/>
        </w:rPr>
      </w:pPr>
    </w:p>
    <w:p w14:paraId="522B4FDB" w14:textId="77777777" w:rsidR="002470F1" w:rsidRDefault="00263676">
      <w:pPr>
        <w:pStyle w:val="BodyText"/>
        <w:ind w:left="101"/>
        <w:rPr>
          <w:sz w:val="20"/>
        </w:rPr>
      </w:pPr>
      <w:r>
        <w:t xml:space="preserve">Figure 2: </w:t>
      </w:r>
      <w:r w:rsidR="00D75757">
        <w:t>Rat Body Condition Scoring (BCS) Guide Taken from</w:t>
      </w:r>
      <w:r w:rsidR="00BA0D68">
        <w:t xml:space="preserve"> Hickman &amp; Swan, JAALAS, 2010.</w:t>
      </w:r>
    </w:p>
    <w:p w14:paraId="62A36956" w14:textId="77777777" w:rsidR="002470F1" w:rsidRDefault="002470F1">
      <w:pPr>
        <w:pStyle w:val="BodyText"/>
        <w:ind w:left="101"/>
        <w:rPr>
          <w:sz w:val="20"/>
        </w:rPr>
      </w:pPr>
    </w:p>
    <w:p w14:paraId="320CEDD9" w14:textId="77777777" w:rsidR="002470F1" w:rsidRDefault="002470F1">
      <w:pPr>
        <w:pStyle w:val="BodyText"/>
        <w:ind w:left="101"/>
        <w:rPr>
          <w:sz w:val="20"/>
        </w:rPr>
      </w:pPr>
    </w:p>
    <w:p w14:paraId="350D5CFF" w14:textId="77777777" w:rsidR="002470F1" w:rsidRDefault="002470F1" w:rsidP="00BA0D68">
      <w:pPr>
        <w:pStyle w:val="BodyText"/>
        <w:rPr>
          <w:sz w:val="20"/>
        </w:rPr>
      </w:pPr>
    </w:p>
    <w:p w14:paraId="5CB58132" w14:textId="77777777" w:rsidR="002470F1" w:rsidRDefault="002470F1">
      <w:pPr>
        <w:pStyle w:val="BodyText"/>
        <w:ind w:left="101"/>
        <w:rPr>
          <w:sz w:val="20"/>
        </w:rPr>
      </w:pPr>
      <w:r>
        <w:rPr>
          <w:noProof/>
        </w:rPr>
        <w:drawing>
          <wp:inline distT="0" distB="0" distL="0" distR="0" wp14:anchorId="65151337" wp14:editId="5CD0AC61">
            <wp:extent cx="4067175" cy="7429500"/>
            <wp:effectExtent l="0" t="0" r="9525" b="0"/>
            <wp:docPr id="25" name="Picture 25" descr="Rat Body Condition Scoring (BCS) Guide Taken from Hickman &amp; Swan, JAALAS, 2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Rat Body Condition Scoring (BCS) Guide Taken from Hickman &amp; Swan, JAALAS, 20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67175" cy="7429500"/>
                    </a:xfrm>
                    <a:prstGeom prst="rect">
                      <a:avLst/>
                    </a:prstGeom>
                    <a:noFill/>
                    <a:ln>
                      <a:noFill/>
                    </a:ln>
                  </pic:spPr>
                </pic:pic>
              </a:graphicData>
            </a:graphic>
          </wp:inline>
        </w:drawing>
      </w:r>
    </w:p>
    <w:sectPr w:rsidR="002470F1">
      <w:pgSz w:w="12240" w:h="15840"/>
      <w:pgMar w:top="1500" w:right="1180" w:bottom="980" w:left="1340" w:header="0" w:footer="7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F3463" w14:textId="77777777" w:rsidR="00206B65" w:rsidRDefault="00206B65">
      <w:r>
        <w:separator/>
      </w:r>
    </w:p>
  </w:endnote>
  <w:endnote w:type="continuationSeparator" w:id="0">
    <w:p w14:paraId="5CFD4A51" w14:textId="77777777" w:rsidR="00206B65" w:rsidRDefault="00206B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7533E" w14:textId="77777777" w:rsidR="00F97734" w:rsidRDefault="00FA23EE">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1398411E" wp14:editId="5306DF42">
              <wp:simplePos x="0" y="0"/>
              <wp:positionH relativeFrom="page">
                <wp:posOffset>6849110</wp:posOffset>
              </wp:positionH>
              <wp:positionV relativeFrom="page">
                <wp:posOffset>9416415</wp:posOffset>
              </wp:positionV>
              <wp:extent cx="127000" cy="194310"/>
              <wp:effectExtent l="635"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BC684" w14:textId="7218A2DD" w:rsidR="00F97734" w:rsidRDefault="00FA23EE">
                          <w:pPr>
                            <w:spacing w:before="10"/>
                            <w:ind w:left="40"/>
                            <w:rPr>
                              <w:rFonts w:ascii="Times New Roman"/>
                              <w:sz w:val="24"/>
                            </w:rPr>
                          </w:pPr>
                          <w:r>
                            <w:fldChar w:fldCharType="begin"/>
                          </w:r>
                          <w:r>
                            <w:rPr>
                              <w:rFonts w:ascii="Times New Roman"/>
                              <w:sz w:val="24"/>
                            </w:rPr>
                            <w:instrText xml:space="preserve"> PAGE </w:instrText>
                          </w:r>
                          <w:r>
                            <w:fldChar w:fldCharType="separate"/>
                          </w:r>
                          <w:r w:rsidR="00D14779">
                            <w:rPr>
                              <w:rFonts w:ascii="Times New Roman"/>
                              <w:noProof/>
                              <w:sz w:val="24"/>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98411E" id="_x0000_t202" coordsize="21600,21600" o:spt="202" path="m,l,21600r21600,l21600,xe">
              <v:stroke joinstyle="miter"/>
              <v:path gradientshapeok="t" o:connecttype="rect"/>
            </v:shapetype>
            <v:shape id="Text Box 1" o:spid="_x0000_s1026" type="#_x0000_t202" style="position:absolute;margin-left:539.3pt;margin-top:741.45pt;width:10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" filled="f" stroked="f">
              <v:textbox inset="0,0,0,0">
                <w:txbxContent>
                  <w:p w14:paraId="13FBC684" w14:textId="7218A2DD" w:rsidR="00F97734" w:rsidRDefault="00FA23EE">
                    <w:pPr>
                      <w:spacing w:before="10"/>
                      <w:ind w:left="40"/>
                      <w:rPr>
                        <w:rFonts w:ascii="Times New Roman"/>
                        <w:sz w:val="24"/>
                      </w:rPr>
                    </w:pPr>
                    <w:r>
                      <w:fldChar w:fldCharType="begin"/>
                    </w:r>
                    <w:r>
                      <w:rPr>
                        <w:rFonts w:ascii="Times New Roman"/>
                        <w:sz w:val="24"/>
                      </w:rPr>
                      <w:instrText xml:space="preserve"> PAGE </w:instrText>
                    </w:r>
                    <w:r>
                      <w:fldChar w:fldCharType="separate"/>
                    </w:r>
                    <w:r w:rsidR="00D14779">
                      <w:rPr>
                        <w:rFonts w:ascii="Times New Roman"/>
                        <w:noProof/>
                        <w:sz w:val="24"/>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CE7C6" w14:textId="77777777" w:rsidR="00206B65" w:rsidRDefault="00206B65">
      <w:r>
        <w:separator/>
      </w:r>
    </w:p>
  </w:footnote>
  <w:footnote w:type="continuationSeparator" w:id="0">
    <w:p w14:paraId="55B4F49D" w14:textId="77777777" w:rsidR="00206B65" w:rsidRDefault="00206B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B2FA6"/>
    <w:multiLevelType w:val="hybridMultilevel"/>
    <w:tmpl w:val="40E2B31A"/>
    <w:lvl w:ilvl="0" w:tplc="5FFCE192">
      <w:start w:val="1"/>
      <w:numFmt w:val="decimal"/>
      <w:lvlText w:val="%1."/>
      <w:lvlJc w:val="left"/>
      <w:pPr>
        <w:ind w:left="820" w:hanging="720"/>
      </w:pPr>
      <w:rPr>
        <w:rFonts w:ascii="Arial" w:eastAsia="Arial" w:hAnsi="Arial" w:cs="Arial" w:hint="default"/>
        <w:spacing w:val="-1"/>
        <w:w w:val="100"/>
        <w:sz w:val="22"/>
        <w:szCs w:val="22"/>
      </w:rPr>
    </w:lvl>
    <w:lvl w:ilvl="1" w:tplc="4678F6A4">
      <w:numFmt w:val="bullet"/>
      <w:lvlText w:val="•"/>
      <w:lvlJc w:val="left"/>
      <w:pPr>
        <w:ind w:left="1710" w:hanging="720"/>
      </w:pPr>
      <w:rPr>
        <w:rFonts w:hint="default"/>
      </w:rPr>
    </w:lvl>
    <w:lvl w:ilvl="2" w:tplc="9FE4882C">
      <w:numFmt w:val="bullet"/>
      <w:lvlText w:val="•"/>
      <w:lvlJc w:val="left"/>
      <w:pPr>
        <w:ind w:left="2600" w:hanging="720"/>
      </w:pPr>
      <w:rPr>
        <w:rFonts w:hint="default"/>
      </w:rPr>
    </w:lvl>
    <w:lvl w:ilvl="3" w:tplc="89F8705E">
      <w:numFmt w:val="bullet"/>
      <w:lvlText w:val="•"/>
      <w:lvlJc w:val="left"/>
      <w:pPr>
        <w:ind w:left="3490" w:hanging="720"/>
      </w:pPr>
      <w:rPr>
        <w:rFonts w:hint="default"/>
      </w:rPr>
    </w:lvl>
    <w:lvl w:ilvl="4" w:tplc="4BA8CC4A">
      <w:numFmt w:val="bullet"/>
      <w:lvlText w:val="•"/>
      <w:lvlJc w:val="left"/>
      <w:pPr>
        <w:ind w:left="4380" w:hanging="720"/>
      </w:pPr>
      <w:rPr>
        <w:rFonts w:hint="default"/>
      </w:rPr>
    </w:lvl>
    <w:lvl w:ilvl="5" w:tplc="DDD26B84">
      <w:numFmt w:val="bullet"/>
      <w:lvlText w:val="•"/>
      <w:lvlJc w:val="left"/>
      <w:pPr>
        <w:ind w:left="5270" w:hanging="720"/>
      </w:pPr>
      <w:rPr>
        <w:rFonts w:hint="default"/>
      </w:rPr>
    </w:lvl>
    <w:lvl w:ilvl="6" w:tplc="45D0B0F6">
      <w:numFmt w:val="bullet"/>
      <w:lvlText w:val="•"/>
      <w:lvlJc w:val="left"/>
      <w:pPr>
        <w:ind w:left="6160" w:hanging="720"/>
      </w:pPr>
      <w:rPr>
        <w:rFonts w:hint="default"/>
      </w:rPr>
    </w:lvl>
    <w:lvl w:ilvl="7" w:tplc="7D76805C">
      <w:numFmt w:val="bullet"/>
      <w:lvlText w:val="•"/>
      <w:lvlJc w:val="left"/>
      <w:pPr>
        <w:ind w:left="7050" w:hanging="720"/>
      </w:pPr>
      <w:rPr>
        <w:rFonts w:hint="default"/>
      </w:rPr>
    </w:lvl>
    <w:lvl w:ilvl="8" w:tplc="D10441A4">
      <w:numFmt w:val="bullet"/>
      <w:lvlText w:val="•"/>
      <w:lvlJc w:val="left"/>
      <w:pPr>
        <w:ind w:left="7940" w:hanging="720"/>
      </w:pPr>
      <w:rPr>
        <w:rFonts w:hint="default"/>
      </w:rPr>
    </w:lvl>
  </w:abstractNum>
  <w:abstractNum w:abstractNumId="1" w15:restartNumberingAfterBreak="0">
    <w:nsid w:val="0B417F5C"/>
    <w:multiLevelType w:val="hybridMultilevel"/>
    <w:tmpl w:val="991898CE"/>
    <w:lvl w:ilvl="0" w:tplc="9B3E0192">
      <w:numFmt w:val="bullet"/>
      <w:lvlText w:val=""/>
      <w:lvlJc w:val="left"/>
      <w:pPr>
        <w:ind w:left="504" w:hanging="360"/>
      </w:pPr>
      <w:rPr>
        <w:rFonts w:ascii="Symbol" w:eastAsia="Symbol" w:hAnsi="Symbol" w:cs="Symbol" w:hint="default"/>
        <w:w w:val="99"/>
        <w:sz w:val="20"/>
        <w:szCs w:val="20"/>
      </w:rPr>
    </w:lvl>
    <w:lvl w:ilvl="1" w:tplc="BE08B502">
      <w:numFmt w:val="bullet"/>
      <w:lvlText w:val="•"/>
      <w:lvlJc w:val="left"/>
      <w:pPr>
        <w:ind w:left="1060" w:hanging="360"/>
      </w:pPr>
      <w:rPr>
        <w:rFonts w:hint="default"/>
      </w:rPr>
    </w:lvl>
    <w:lvl w:ilvl="2" w:tplc="B304358E">
      <w:numFmt w:val="bullet"/>
      <w:lvlText w:val="•"/>
      <w:lvlJc w:val="left"/>
      <w:pPr>
        <w:ind w:left="1621" w:hanging="360"/>
      </w:pPr>
      <w:rPr>
        <w:rFonts w:hint="default"/>
      </w:rPr>
    </w:lvl>
    <w:lvl w:ilvl="3" w:tplc="ED8243A6">
      <w:numFmt w:val="bullet"/>
      <w:lvlText w:val="•"/>
      <w:lvlJc w:val="left"/>
      <w:pPr>
        <w:ind w:left="2181" w:hanging="360"/>
      </w:pPr>
      <w:rPr>
        <w:rFonts w:hint="default"/>
      </w:rPr>
    </w:lvl>
    <w:lvl w:ilvl="4" w:tplc="CCD0E604">
      <w:numFmt w:val="bullet"/>
      <w:lvlText w:val="•"/>
      <w:lvlJc w:val="left"/>
      <w:pPr>
        <w:ind w:left="2742" w:hanging="360"/>
      </w:pPr>
      <w:rPr>
        <w:rFonts w:hint="default"/>
      </w:rPr>
    </w:lvl>
    <w:lvl w:ilvl="5" w:tplc="C9C2CEC8">
      <w:numFmt w:val="bullet"/>
      <w:lvlText w:val="•"/>
      <w:lvlJc w:val="left"/>
      <w:pPr>
        <w:ind w:left="3302" w:hanging="360"/>
      </w:pPr>
      <w:rPr>
        <w:rFonts w:hint="default"/>
      </w:rPr>
    </w:lvl>
    <w:lvl w:ilvl="6" w:tplc="71CE66EC">
      <w:numFmt w:val="bullet"/>
      <w:lvlText w:val="•"/>
      <w:lvlJc w:val="left"/>
      <w:pPr>
        <w:ind w:left="3863" w:hanging="360"/>
      </w:pPr>
      <w:rPr>
        <w:rFonts w:hint="default"/>
      </w:rPr>
    </w:lvl>
    <w:lvl w:ilvl="7" w:tplc="C7AEF21E">
      <w:numFmt w:val="bullet"/>
      <w:lvlText w:val="•"/>
      <w:lvlJc w:val="left"/>
      <w:pPr>
        <w:ind w:left="4423" w:hanging="360"/>
      </w:pPr>
      <w:rPr>
        <w:rFonts w:hint="default"/>
      </w:rPr>
    </w:lvl>
    <w:lvl w:ilvl="8" w:tplc="0AE2FC06">
      <w:numFmt w:val="bullet"/>
      <w:lvlText w:val="•"/>
      <w:lvlJc w:val="left"/>
      <w:pPr>
        <w:ind w:left="4984" w:hanging="360"/>
      </w:pPr>
      <w:rPr>
        <w:rFonts w:hint="default"/>
      </w:rPr>
    </w:lvl>
  </w:abstractNum>
  <w:abstractNum w:abstractNumId="2" w15:restartNumberingAfterBreak="0">
    <w:nsid w:val="2D60062C"/>
    <w:multiLevelType w:val="hybridMultilevel"/>
    <w:tmpl w:val="DD3E39E0"/>
    <w:lvl w:ilvl="0" w:tplc="A8A8E93C">
      <w:start w:val="1"/>
      <w:numFmt w:val="decimal"/>
      <w:lvlText w:val="%1."/>
      <w:lvlJc w:val="left"/>
      <w:pPr>
        <w:ind w:left="505" w:hanging="360"/>
      </w:pPr>
      <w:rPr>
        <w:rFonts w:hint="default"/>
        <w:spacing w:val="-1"/>
        <w:w w:val="99"/>
      </w:rPr>
    </w:lvl>
    <w:lvl w:ilvl="1" w:tplc="3A86966A">
      <w:numFmt w:val="bullet"/>
      <w:lvlText w:val="•"/>
      <w:lvlJc w:val="left"/>
      <w:pPr>
        <w:ind w:left="724" w:hanging="360"/>
      </w:pPr>
      <w:rPr>
        <w:rFonts w:hint="default"/>
      </w:rPr>
    </w:lvl>
    <w:lvl w:ilvl="2" w:tplc="E58E1B94">
      <w:numFmt w:val="bullet"/>
      <w:lvlText w:val="•"/>
      <w:lvlJc w:val="left"/>
      <w:pPr>
        <w:ind w:left="949" w:hanging="360"/>
      </w:pPr>
      <w:rPr>
        <w:rFonts w:hint="default"/>
      </w:rPr>
    </w:lvl>
    <w:lvl w:ilvl="3" w:tplc="7480E5BA">
      <w:numFmt w:val="bullet"/>
      <w:lvlText w:val="•"/>
      <w:lvlJc w:val="left"/>
      <w:pPr>
        <w:ind w:left="1173" w:hanging="360"/>
      </w:pPr>
      <w:rPr>
        <w:rFonts w:hint="default"/>
      </w:rPr>
    </w:lvl>
    <w:lvl w:ilvl="4" w:tplc="8E1C5F70">
      <w:numFmt w:val="bullet"/>
      <w:lvlText w:val="•"/>
      <w:lvlJc w:val="left"/>
      <w:pPr>
        <w:ind w:left="1398" w:hanging="360"/>
      </w:pPr>
      <w:rPr>
        <w:rFonts w:hint="default"/>
      </w:rPr>
    </w:lvl>
    <w:lvl w:ilvl="5" w:tplc="DC041232">
      <w:numFmt w:val="bullet"/>
      <w:lvlText w:val="•"/>
      <w:lvlJc w:val="left"/>
      <w:pPr>
        <w:ind w:left="1623" w:hanging="360"/>
      </w:pPr>
      <w:rPr>
        <w:rFonts w:hint="default"/>
      </w:rPr>
    </w:lvl>
    <w:lvl w:ilvl="6" w:tplc="66123DF4">
      <w:numFmt w:val="bullet"/>
      <w:lvlText w:val="•"/>
      <w:lvlJc w:val="left"/>
      <w:pPr>
        <w:ind w:left="1847" w:hanging="360"/>
      </w:pPr>
      <w:rPr>
        <w:rFonts w:hint="default"/>
      </w:rPr>
    </w:lvl>
    <w:lvl w:ilvl="7" w:tplc="4140922A">
      <w:numFmt w:val="bullet"/>
      <w:lvlText w:val="•"/>
      <w:lvlJc w:val="left"/>
      <w:pPr>
        <w:ind w:left="2072" w:hanging="360"/>
      </w:pPr>
      <w:rPr>
        <w:rFonts w:hint="default"/>
      </w:rPr>
    </w:lvl>
    <w:lvl w:ilvl="8" w:tplc="E432ED50">
      <w:numFmt w:val="bullet"/>
      <w:lvlText w:val="•"/>
      <w:lvlJc w:val="left"/>
      <w:pPr>
        <w:ind w:left="2296" w:hanging="360"/>
      </w:pPr>
      <w:rPr>
        <w:rFonts w:hint="default"/>
      </w:rPr>
    </w:lvl>
  </w:abstractNum>
  <w:abstractNum w:abstractNumId="3" w15:restartNumberingAfterBreak="0">
    <w:nsid w:val="5FF756D3"/>
    <w:multiLevelType w:val="hybridMultilevel"/>
    <w:tmpl w:val="4C801F22"/>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4" w15:restartNumberingAfterBreak="0">
    <w:nsid w:val="616B0905"/>
    <w:multiLevelType w:val="hybridMultilevel"/>
    <w:tmpl w:val="87DC911E"/>
    <w:lvl w:ilvl="0" w:tplc="CAE41D76">
      <w:start w:val="1"/>
      <w:numFmt w:val="decimal"/>
      <w:lvlText w:val="%1."/>
      <w:lvlJc w:val="left"/>
      <w:pPr>
        <w:ind w:left="840" w:hanging="720"/>
      </w:pPr>
      <w:rPr>
        <w:rFonts w:ascii="Arial" w:eastAsia="Arial" w:hAnsi="Arial" w:cs="Arial" w:hint="default"/>
        <w:spacing w:val="-1"/>
        <w:w w:val="100"/>
        <w:sz w:val="22"/>
        <w:szCs w:val="22"/>
      </w:rPr>
    </w:lvl>
    <w:lvl w:ilvl="1" w:tplc="803C1CDC">
      <w:numFmt w:val="bullet"/>
      <w:lvlText w:val="•"/>
      <w:lvlJc w:val="left"/>
      <w:pPr>
        <w:ind w:left="1812" w:hanging="720"/>
      </w:pPr>
      <w:rPr>
        <w:rFonts w:hint="default"/>
      </w:rPr>
    </w:lvl>
    <w:lvl w:ilvl="2" w:tplc="805A6C9A">
      <w:numFmt w:val="bullet"/>
      <w:lvlText w:val="•"/>
      <w:lvlJc w:val="left"/>
      <w:pPr>
        <w:ind w:left="2784" w:hanging="720"/>
      </w:pPr>
      <w:rPr>
        <w:rFonts w:hint="default"/>
      </w:rPr>
    </w:lvl>
    <w:lvl w:ilvl="3" w:tplc="CF44D932">
      <w:numFmt w:val="bullet"/>
      <w:lvlText w:val="•"/>
      <w:lvlJc w:val="left"/>
      <w:pPr>
        <w:ind w:left="3756" w:hanging="720"/>
      </w:pPr>
      <w:rPr>
        <w:rFonts w:hint="default"/>
      </w:rPr>
    </w:lvl>
    <w:lvl w:ilvl="4" w:tplc="EBBE54D2">
      <w:numFmt w:val="bullet"/>
      <w:lvlText w:val="•"/>
      <w:lvlJc w:val="left"/>
      <w:pPr>
        <w:ind w:left="4728" w:hanging="720"/>
      </w:pPr>
      <w:rPr>
        <w:rFonts w:hint="default"/>
      </w:rPr>
    </w:lvl>
    <w:lvl w:ilvl="5" w:tplc="6A20C338">
      <w:numFmt w:val="bullet"/>
      <w:lvlText w:val="•"/>
      <w:lvlJc w:val="left"/>
      <w:pPr>
        <w:ind w:left="5700" w:hanging="720"/>
      </w:pPr>
      <w:rPr>
        <w:rFonts w:hint="default"/>
      </w:rPr>
    </w:lvl>
    <w:lvl w:ilvl="6" w:tplc="DF72A2DA">
      <w:numFmt w:val="bullet"/>
      <w:lvlText w:val="•"/>
      <w:lvlJc w:val="left"/>
      <w:pPr>
        <w:ind w:left="6672" w:hanging="720"/>
      </w:pPr>
      <w:rPr>
        <w:rFonts w:hint="default"/>
      </w:rPr>
    </w:lvl>
    <w:lvl w:ilvl="7" w:tplc="044C456C">
      <w:numFmt w:val="bullet"/>
      <w:lvlText w:val="•"/>
      <w:lvlJc w:val="left"/>
      <w:pPr>
        <w:ind w:left="7644" w:hanging="720"/>
      </w:pPr>
      <w:rPr>
        <w:rFonts w:hint="default"/>
      </w:rPr>
    </w:lvl>
    <w:lvl w:ilvl="8" w:tplc="A8EA9DEC">
      <w:numFmt w:val="bullet"/>
      <w:lvlText w:val="•"/>
      <w:lvlJc w:val="left"/>
      <w:pPr>
        <w:ind w:left="8616" w:hanging="720"/>
      </w:pPr>
      <w:rPr>
        <w:rFonts w:hint="default"/>
      </w:rPr>
    </w:lvl>
  </w:abstractNum>
  <w:abstractNum w:abstractNumId="5" w15:restartNumberingAfterBreak="0">
    <w:nsid w:val="69FB08DB"/>
    <w:multiLevelType w:val="hybridMultilevel"/>
    <w:tmpl w:val="FB3CC8C8"/>
    <w:lvl w:ilvl="0" w:tplc="32984194">
      <w:start w:val="1"/>
      <w:numFmt w:val="decimal"/>
      <w:lvlText w:val="%1."/>
      <w:lvlJc w:val="left"/>
      <w:pPr>
        <w:ind w:left="504" w:hanging="360"/>
      </w:pPr>
      <w:rPr>
        <w:rFonts w:ascii="Arial" w:eastAsia="Arial" w:hAnsi="Arial" w:cs="Arial" w:hint="default"/>
        <w:spacing w:val="-1"/>
        <w:w w:val="100"/>
        <w:sz w:val="16"/>
        <w:szCs w:val="16"/>
      </w:rPr>
    </w:lvl>
    <w:lvl w:ilvl="1" w:tplc="49884564">
      <w:numFmt w:val="bullet"/>
      <w:lvlText w:val="•"/>
      <w:lvlJc w:val="left"/>
      <w:pPr>
        <w:ind w:left="1060" w:hanging="360"/>
      </w:pPr>
      <w:rPr>
        <w:rFonts w:hint="default"/>
      </w:rPr>
    </w:lvl>
    <w:lvl w:ilvl="2" w:tplc="8D209684">
      <w:numFmt w:val="bullet"/>
      <w:lvlText w:val="•"/>
      <w:lvlJc w:val="left"/>
      <w:pPr>
        <w:ind w:left="1620" w:hanging="360"/>
      </w:pPr>
      <w:rPr>
        <w:rFonts w:hint="default"/>
      </w:rPr>
    </w:lvl>
    <w:lvl w:ilvl="3" w:tplc="B46036A8">
      <w:numFmt w:val="bullet"/>
      <w:lvlText w:val="•"/>
      <w:lvlJc w:val="left"/>
      <w:pPr>
        <w:ind w:left="2181" w:hanging="360"/>
      </w:pPr>
      <w:rPr>
        <w:rFonts w:hint="default"/>
      </w:rPr>
    </w:lvl>
    <w:lvl w:ilvl="4" w:tplc="437EB968">
      <w:numFmt w:val="bullet"/>
      <w:lvlText w:val="•"/>
      <w:lvlJc w:val="left"/>
      <w:pPr>
        <w:ind w:left="2741" w:hanging="360"/>
      </w:pPr>
      <w:rPr>
        <w:rFonts w:hint="default"/>
      </w:rPr>
    </w:lvl>
    <w:lvl w:ilvl="5" w:tplc="67104F54">
      <w:numFmt w:val="bullet"/>
      <w:lvlText w:val="•"/>
      <w:lvlJc w:val="left"/>
      <w:pPr>
        <w:ind w:left="3302" w:hanging="360"/>
      </w:pPr>
      <w:rPr>
        <w:rFonts w:hint="default"/>
      </w:rPr>
    </w:lvl>
    <w:lvl w:ilvl="6" w:tplc="A174601E">
      <w:numFmt w:val="bullet"/>
      <w:lvlText w:val="•"/>
      <w:lvlJc w:val="left"/>
      <w:pPr>
        <w:ind w:left="3862" w:hanging="360"/>
      </w:pPr>
      <w:rPr>
        <w:rFonts w:hint="default"/>
      </w:rPr>
    </w:lvl>
    <w:lvl w:ilvl="7" w:tplc="ECA8AB46">
      <w:numFmt w:val="bullet"/>
      <w:lvlText w:val="•"/>
      <w:lvlJc w:val="left"/>
      <w:pPr>
        <w:ind w:left="4422" w:hanging="360"/>
      </w:pPr>
      <w:rPr>
        <w:rFonts w:hint="default"/>
      </w:rPr>
    </w:lvl>
    <w:lvl w:ilvl="8" w:tplc="22882DAA">
      <w:numFmt w:val="bullet"/>
      <w:lvlText w:val="•"/>
      <w:lvlJc w:val="left"/>
      <w:pPr>
        <w:ind w:left="4983" w:hanging="360"/>
      </w:pPr>
      <w:rPr>
        <w:rFonts w:hint="default"/>
      </w:rPr>
    </w:lvl>
  </w:abstractNum>
  <w:num w:numId="1" w16cid:durableId="539631046">
    <w:abstractNumId w:val="5"/>
  </w:num>
  <w:num w:numId="2" w16cid:durableId="987440196">
    <w:abstractNumId w:val="2"/>
  </w:num>
  <w:num w:numId="3" w16cid:durableId="1239175666">
    <w:abstractNumId w:val="4"/>
  </w:num>
  <w:num w:numId="4" w16cid:durableId="368070090">
    <w:abstractNumId w:val="1"/>
  </w:num>
  <w:num w:numId="5" w16cid:durableId="1097597809">
    <w:abstractNumId w:val="0"/>
  </w:num>
  <w:num w:numId="6" w16cid:durableId="3173928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7734"/>
    <w:rsid w:val="000A42CB"/>
    <w:rsid w:val="000E7C18"/>
    <w:rsid w:val="00130A69"/>
    <w:rsid w:val="00206B65"/>
    <w:rsid w:val="002111E0"/>
    <w:rsid w:val="002470F1"/>
    <w:rsid w:val="00263676"/>
    <w:rsid w:val="00382191"/>
    <w:rsid w:val="004108BD"/>
    <w:rsid w:val="00464F21"/>
    <w:rsid w:val="004B7622"/>
    <w:rsid w:val="004D629C"/>
    <w:rsid w:val="00541AE1"/>
    <w:rsid w:val="005E2D3F"/>
    <w:rsid w:val="00610AF6"/>
    <w:rsid w:val="00666355"/>
    <w:rsid w:val="006768B9"/>
    <w:rsid w:val="00734486"/>
    <w:rsid w:val="007E335D"/>
    <w:rsid w:val="00831041"/>
    <w:rsid w:val="008B4731"/>
    <w:rsid w:val="009E09C5"/>
    <w:rsid w:val="00A552D5"/>
    <w:rsid w:val="00AB7B25"/>
    <w:rsid w:val="00B86B3D"/>
    <w:rsid w:val="00BA0D68"/>
    <w:rsid w:val="00BA5A29"/>
    <w:rsid w:val="00BF2D6C"/>
    <w:rsid w:val="00C73396"/>
    <w:rsid w:val="00CE6AD9"/>
    <w:rsid w:val="00D13430"/>
    <w:rsid w:val="00D14779"/>
    <w:rsid w:val="00D75757"/>
    <w:rsid w:val="00F648B9"/>
    <w:rsid w:val="00F717A1"/>
    <w:rsid w:val="00F97734"/>
    <w:rsid w:val="00FA23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1635D2"/>
  <w15:docId w15:val="{8924FED0-9A84-4924-86CF-50C5BF5E5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504"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2470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0F1"/>
    <w:rPr>
      <w:rFonts w:ascii="Segoe UI" w:eastAsia="Arial" w:hAnsi="Segoe UI" w:cs="Segoe UI"/>
      <w:sz w:val="18"/>
      <w:szCs w:val="18"/>
    </w:rPr>
  </w:style>
  <w:style w:type="character" w:styleId="CommentReference">
    <w:name w:val="annotation reference"/>
    <w:basedOn w:val="DefaultParagraphFont"/>
    <w:uiPriority w:val="99"/>
    <w:semiHidden/>
    <w:unhideWhenUsed/>
    <w:rsid w:val="00BA0D68"/>
    <w:rPr>
      <w:sz w:val="16"/>
      <w:szCs w:val="16"/>
    </w:rPr>
  </w:style>
  <w:style w:type="paragraph" w:styleId="CommentText">
    <w:name w:val="annotation text"/>
    <w:basedOn w:val="Normal"/>
    <w:link w:val="CommentTextChar"/>
    <w:uiPriority w:val="99"/>
    <w:semiHidden/>
    <w:unhideWhenUsed/>
    <w:rsid w:val="00BA0D68"/>
    <w:rPr>
      <w:sz w:val="20"/>
      <w:szCs w:val="20"/>
    </w:rPr>
  </w:style>
  <w:style w:type="character" w:customStyle="1" w:styleId="CommentTextChar">
    <w:name w:val="Comment Text Char"/>
    <w:basedOn w:val="DefaultParagraphFont"/>
    <w:link w:val="CommentText"/>
    <w:uiPriority w:val="99"/>
    <w:semiHidden/>
    <w:rsid w:val="00BA0D68"/>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BA0D68"/>
    <w:rPr>
      <w:b/>
      <w:bCs/>
    </w:rPr>
  </w:style>
  <w:style w:type="character" w:customStyle="1" w:styleId="CommentSubjectChar">
    <w:name w:val="Comment Subject Char"/>
    <w:basedOn w:val="CommentTextChar"/>
    <w:link w:val="CommentSubject"/>
    <w:uiPriority w:val="99"/>
    <w:semiHidden/>
    <w:rsid w:val="00BA0D68"/>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C1134E-07B8-475B-A4DF-420616AB5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447</Words>
  <Characters>2551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UR Animal Resource SOP#</vt:lpstr>
    </vt:vector>
  </TitlesOfParts>
  <Company>URMC</Company>
  <LinksUpToDate>false</LinksUpToDate>
  <CharactersWithSpaces>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 Animal Resource SOP#</dc:title>
  <dc:creator>wabates</dc:creator>
  <cp:lastModifiedBy>Stein, Keith</cp:lastModifiedBy>
  <cp:revision>2</cp:revision>
  <dcterms:created xsi:type="dcterms:W3CDTF">2026-03-20T14:23:00Z</dcterms:created>
  <dcterms:modified xsi:type="dcterms:W3CDTF">2026-03-20T14:23:00Z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2015-07-15T00:00:00Z</vt:filetime>
  </property>
  <property fmtid="{D5CDD505-2E9C-101B-9397-08002B2CF9AE}" pid="3" name="Creator">
    <vt:lpwstr>Microsoft® Word 2010</vt:lpwstr>
  </property>
  <property fmtid="{D5CDD505-2E9C-101B-9397-08002B2CF9AE}" pid="4" name="LastSaved">
    <vt:filetime>2019-01-03T00:00:00Z</vt:filetime>
  </property>
</Properties>
</file>