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0F5AD7C8" w:rsidR="009B6D18" w:rsidRDefault="008F22F0" w:rsidP="008F22F0">
      <w:pPr>
        <w:tabs>
          <w:tab w:val="left" w:pos="3333"/>
        </w:tabs>
        <w:ind w:left="9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79207114" w14:textId="77777777" w:rsidR="000A7658" w:rsidRDefault="000A7658" w:rsidP="002D6AF5">
      <w:pPr>
        <w:rPr>
          <w:b/>
          <w:bCs/>
          <w:sz w:val="18"/>
          <w:szCs w:val="18"/>
        </w:rPr>
      </w:pPr>
    </w:p>
    <w:p w14:paraId="695E1720" w14:textId="26D263B2" w:rsidR="00C42278" w:rsidRDefault="00CB1D18" w:rsidP="002D6AF5">
      <w:pPr>
        <w:pStyle w:val="Heading1"/>
      </w:pPr>
      <w:r>
        <w:t>Anti-Infection Medications</w:t>
      </w:r>
    </w:p>
    <w:p w14:paraId="29183CCD" w14:textId="77777777" w:rsidR="00CB1D18" w:rsidRDefault="00CB1D18" w:rsidP="00CB1D18">
      <w:pPr>
        <w:rPr>
          <w:b/>
          <w:color w:val="000000" w:themeColor="text1"/>
          <w:sz w:val="28"/>
          <w:szCs w:val="28"/>
        </w:rPr>
      </w:pPr>
      <w:r w:rsidRPr="006A7F0C">
        <w:rPr>
          <w:b/>
          <w:color w:val="000000" w:themeColor="text1"/>
          <w:sz w:val="28"/>
          <w:szCs w:val="28"/>
        </w:rPr>
        <w:t>Your anti-infection medications will be taken for approximately 6 months – 1 year following transplant as this is the time of highest risk for infection.</w:t>
      </w:r>
    </w:p>
    <w:p w14:paraId="3E91AB82" w14:textId="77777777" w:rsidR="00CB1D18" w:rsidRPr="006A7F0C" w:rsidRDefault="00CB1D18" w:rsidP="00CB1D18">
      <w:pPr>
        <w:rPr>
          <w:b/>
          <w:color w:val="000000" w:themeColor="text1"/>
          <w:sz w:val="28"/>
          <w:szCs w:val="28"/>
        </w:rPr>
      </w:pPr>
    </w:p>
    <w:p w14:paraId="34FC190E" w14:textId="250C79E7" w:rsidR="002D6AF5" w:rsidRDefault="00CB1D18" w:rsidP="002D6AF5">
      <w:pPr>
        <w:pStyle w:val="Heading2"/>
      </w:pPr>
      <w:r>
        <w:t>Bactrim DS/Sulfamethoxazole-trimethoprim (Anti-bacterial/Antibiotic)</w:t>
      </w:r>
    </w:p>
    <w:p w14:paraId="04D66D29" w14:textId="3211D125" w:rsidR="00CB1D18" w:rsidRPr="00CB1D18" w:rsidRDefault="00CB1D18" w:rsidP="008F22F0">
      <w:pPr>
        <w:pStyle w:val="NoSpacing"/>
        <w:rPr>
          <w:iCs/>
        </w:rPr>
      </w:pPr>
      <w:r w:rsidRPr="00CB1D18">
        <w:rPr>
          <w:iCs/>
        </w:rPr>
        <w:t>This is the typical anti-bacterial medication prescribed following transplant.  If allergic or unable to tolerate, you will be prescribed another medication.</w:t>
      </w:r>
    </w:p>
    <w:p w14:paraId="0453745B" w14:textId="77777777" w:rsidR="00CB1D18" w:rsidRPr="004A03CD" w:rsidRDefault="00CB1D18" w:rsidP="00CB1D18"/>
    <w:p w14:paraId="29B2E860" w14:textId="6E08057F" w:rsidR="00CB1D18" w:rsidRPr="00CB1D18" w:rsidRDefault="00CB1D18" w:rsidP="00CB1D18">
      <w:pPr>
        <w:pStyle w:val="Heading3"/>
      </w:pPr>
      <w:r>
        <w:t>Uses</w:t>
      </w:r>
    </w:p>
    <w:p w14:paraId="59FABBDE" w14:textId="5C8AD900" w:rsidR="002D6AF5" w:rsidRDefault="00CB1D18" w:rsidP="002D6AF5">
      <w:r>
        <w:t>Bactrim DS is taken after transplant to prevent or treat a wide variety of bacterial infections.</w:t>
      </w:r>
    </w:p>
    <w:p w14:paraId="07FA8D77" w14:textId="77777777" w:rsidR="00CB1D18" w:rsidRPr="004A03CD" w:rsidRDefault="00CB1D18" w:rsidP="002D6AF5"/>
    <w:p w14:paraId="60D746EA" w14:textId="20EBF530" w:rsidR="002D6AF5" w:rsidRPr="006159A5" w:rsidRDefault="008F22F0" w:rsidP="00CB1D18">
      <w:pPr>
        <w:pStyle w:val="Heading3"/>
      </w:pPr>
      <w:r>
        <w:t>Schedule</w:t>
      </w:r>
    </w:p>
    <w:p w14:paraId="70A17E5E" w14:textId="20DFE869" w:rsidR="00CB1D18" w:rsidRDefault="00CB1D18" w:rsidP="00CB1D18">
      <w:pPr>
        <w:pStyle w:val="NoSpacing"/>
      </w:pPr>
      <w:r>
        <w:t>Typical dosing i</w:t>
      </w:r>
      <w:r>
        <w:t>s</w:t>
      </w:r>
      <w:r>
        <w:t xml:space="preserve"> 3 </w:t>
      </w:r>
      <w:r>
        <w:t>times</w:t>
      </w:r>
      <w:r>
        <w:t xml:space="preserve"> per week (Monday, Wednesday, Friday)</w:t>
      </w:r>
    </w:p>
    <w:p w14:paraId="03F2567A" w14:textId="77777777" w:rsidR="008F22F0" w:rsidRPr="004A03CD" w:rsidRDefault="008F22F0" w:rsidP="008F22F0"/>
    <w:p w14:paraId="3F400BB8" w14:textId="2D5311DE" w:rsidR="002D6AF5" w:rsidRPr="004A03CD" w:rsidRDefault="008F22F0" w:rsidP="00CB1D18">
      <w:pPr>
        <w:pStyle w:val="Heading3"/>
      </w:pPr>
      <w:r>
        <w:t>Possible Side Effects</w:t>
      </w:r>
    </w:p>
    <w:p w14:paraId="0FCC412C" w14:textId="77777777" w:rsidR="008F22F0" w:rsidRDefault="008F22F0" w:rsidP="00CB1D18">
      <w:pPr>
        <w:pStyle w:val="Heading3"/>
        <w:sectPr w:rsidR="008F22F0" w:rsidSect="002D6A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7DA3D942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Nausea, vomiting, diarrhea</w:t>
      </w:r>
      <w:r>
        <w:tab/>
      </w:r>
    </w:p>
    <w:p w14:paraId="11D2C6AB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Dizziness</w:t>
      </w:r>
      <w:r>
        <w:tab/>
      </w:r>
      <w:r>
        <w:tab/>
      </w:r>
      <w:r>
        <w:tab/>
      </w:r>
    </w:p>
    <w:p w14:paraId="5E1C542D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Fatigue</w:t>
      </w:r>
    </w:p>
    <w:p w14:paraId="29ECE3BE" w14:textId="75150F9E" w:rsidR="008F22F0" w:rsidRDefault="00CB1D18" w:rsidP="00CB1D18">
      <w:pPr>
        <w:pStyle w:val="NoSpacing"/>
        <w:numPr>
          <w:ilvl w:val="0"/>
          <w:numId w:val="23"/>
        </w:numPr>
        <w:sectPr w:rsidR="008F22F0" w:rsidSect="00CB1D18"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  <w:r>
        <w:t xml:space="preserve">Kidney issues </w:t>
      </w:r>
    </w:p>
    <w:p w14:paraId="6389D474" w14:textId="77777777" w:rsidR="008F22F0" w:rsidRPr="004A03CD" w:rsidRDefault="008F22F0" w:rsidP="008F22F0">
      <w:pPr>
        <w:ind w:left="360"/>
      </w:pPr>
    </w:p>
    <w:p w14:paraId="10A37631" w14:textId="77777777" w:rsidR="00CB1D18" w:rsidRDefault="00CB1D18" w:rsidP="008F22F0">
      <w:pPr>
        <w:pStyle w:val="Heading2"/>
        <w:sectPr w:rsidR="00CB1D18" w:rsidSect="00CB1D18"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2F4A8B00" w14:textId="70280580" w:rsidR="008F22F0" w:rsidRDefault="008F22F0" w:rsidP="00CB1D18">
      <w:pPr>
        <w:pStyle w:val="Heading3"/>
      </w:pPr>
      <w:r>
        <w:t>Special Notes</w:t>
      </w:r>
    </w:p>
    <w:p w14:paraId="5DB0C706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Take with or without food.</w:t>
      </w:r>
    </w:p>
    <w:p w14:paraId="61D02A90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Take with a full glass of water.</w:t>
      </w:r>
    </w:p>
    <w:p w14:paraId="09FDBA0C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Take at the same time every day.</w:t>
      </w:r>
    </w:p>
    <w:p w14:paraId="413DCC3B" w14:textId="4D9A045F" w:rsidR="008F22F0" w:rsidRDefault="00CB1D18" w:rsidP="00CB1D18">
      <w:pPr>
        <w:pStyle w:val="NoSpacing"/>
        <w:numPr>
          <w:ilvl w:val="0"/>
          <w:numId w:val="23"/>
        </w:numPr>
      </w:pPr>
      <w:r>
        <w:t>Drink lots of noncaffeine liquids while taking this medication.</w:t>
      </w:r>
    </w:p>
    <w:p w14:paraId="2297E5FA" w14:textId="77777777" w:rsidR="00CB1D18" w:rsidRDefault="00CB1D18" w:rsidP="00CB1D18">
      <w:pPr>
        <w:pStyle w:val="NoSpacing"/>
      </w:pPr>
    </w:p>
    <w:p w14:paraId="64137C53" w14:textId="77777777" w:rsidR="00CB1D18" w:rsidRDefault="00CB1D18">
      <w:pP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r>
        <w:br w:type="page"/>
      </w:r>
    </w:p>
    <w:p w14:paraId="4E83F933" w14:textId="11BB936D" w:rsidR="00CB1D18" w:rsidRDefault="00CB1D18" w:rsidP="00CB1D18">
      <w:pPr>
        <w:pStyle w:val="Heading2"/>
      </w:pPr>
      <w:proofErr w:type="spellStart"/>
      <w:r>
        <w:lastRenderedPageBreak/>
        <w:t>Valcyte</w:t>
      </w:r>
      <w:proofErr w:type="spellEnd"/>
      <w:r>
        <w:t>/</w:t>
      </w:r>
      <w:proofErr w:type="spellStart"/>
      <w:r>
        <w:t>Valgancyclovir</w:t>
      </w:r>
      <w:proofErr w:type="spellEnd"/>
      <w:r>
        <w:t xml:space="preserve"> (Anti-</w:t>
      </w:r>
      <w:r>
        <w:t>viral Medication</w:t>
      </w:r>
      <w:r>
        <w:t>)</w:t>
      </w:r>
    </w:p>
    <w:p w14:paraId="37FBFEE8" w14:textId="4AD41B4B" w:rsidR="00CB1D18" w:rsidRPr="00CB1D18" w:rsidRDefault="00CB1D18" w:rsidP="00CB1D18">
      <w:pPr>
        <w:pStyle w:val="NoSpacing"/>
        <w:rPr>
          <w:iCs/>
        </w:rPr>
      </w:pPr>
      <w:r w:rsidRPr="00CB1D18">
        <w:rPr>
          <w:iCs/>
        </w:rPr>
        <w:t>This is the typical anti-viral medication prescribed following transplant.  If allergic or unable to tolerate, you will be prescribed another medication</w:t>
      </w:r>
      <w:r>
        <w:rPr>
          <w:iCs/>
        </w:rPr>
        <w:t>.</w:t>
      </w:r>
    </w:p>
    <w:p w14:paraId="596EDAE7" w14:textId="77777777" w:rsidR="00CB1D18" w:rsidRPr="004A03CD" w:rsidRDefault="00CB1D18" w:rsidP="00CB1D18"/>
    <w:p w14:paraId="0CD0BAD8" w14:textId="77777777" w:rsidR="00CB1D18" w:rsidRPr="00CB1D18" w:rsidRDefault="00CB1D18" w:rsidP="00CB1D18">
      <w:pPr>
        <w:pStyle w:val="Heading3"/>
      </w:pPr>
      <w:r>
        <w:t>Uses</w:t>
      </w:r>
    </w:p>
    <w:p w14:paraId="3E9CABAA" w14:textId="7C2F2059" w:rsidR="00CB1D18" w:rsidRDefault="00CB1D18" w:rsidP="00CB1D18">
      <w:proofErr w:type="spellStart"/>
      <w:r w:rsidRPr="00A73AA7">
        <w:rPr>
          <w:bCs/>
        </w:rPr>
        <w:t>Valgancyclovir</w:t>
      </w:r>
      <w:proofErr w:type="spellEnd"/>
      <w:r>
        <w:rPr>
          <w:bCs/>
        </w:rPr>
        <w:t xml:space="preserve"> is taken after transplant to prevent a virus called cytomegalovirus (CMV) in people who have received organ transplants.</w:t>
      </w:r>
    </w:p>
    <w:p w14:paraId="1B725F45" w14:textId="77777777" w:rsidR="00CB1D18" w:rsidRPr="004A03CD" w:rsidRDefault="00CB1D18" w:rsidP="00CB1D18"/>
    <w:p w14:paraId="0DBD8AA0" w14:textId="77777777" w:rsidR="00CB1D18" w:rsidRPr="006159A5" w:rsidRDefault="00CB1D18" w:rsidP="00CB1D18">
      <w:pPr>
        <w:pStyle w:val="Heading3"/>
      </w:pPr>
      <w:r>
        <w:t>Schedule</w:t>
      </w:r>
    </w:p>
    <w:p w14:paraId="16232C47" w14:textId="1F690441" w:rsidR="00CB1D18" w:rsidRDefault="00CB1D18" w:rsidP="00CB1D18">
      <w:r>
        <w:t>Dosing is two times daily (bid). 12 hours apart.</w:t>
      </w:r>
    </w:p>
    <w:p w14:paraId="5A2193CD" w14:textId="77777777" w:rsidR="00CB1D18" w:rsidRPr="004A03CD" w:rsidRDefault="00CB1D18" w:rsidP="00CB1D18"/>
    <w:p w14:paraId="5E665F68" w14:textId="77777777" w:rsidR="00CB1D18" w:rsidRPr="004A03CD" w:rsidRDefault="00CB1D18" w:rsidP="00CB1D18">
      <w:pPr>
        <w:pStyle w:val="Heading3"/>
      </w:pPr>
      <w:r>
        <w:t>Possible Side Effects</w:t>
      </w:r>
    </w:p>
    <w:p w14:paraId="1866FACA" w14:textId="77777777" w:rsidR="00CB1D18" w:rsidRDefault="00CB1D18" w:rsidP="00CB1D18">
      <w:pPr>
        <w:pStyle w:val="Heading3"/>
        <w:sectPr w:rsidR="00CB1D18" w:rsidSect="00CB1D18">
          <w:headerReference w:type="first" r:id="rId16"/>
          <w:footerReference w:type="first" r:id="rId17"/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50CFA7CB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Nausea, vomiting, diarrhea</w:t>
      </w:r>
      <w:r>
        <w:tab/>
      </w:r>
      <w:r>
        <w:tab/>
      </w:r>
    </w:p>
    <w:p w14:paraId="4964E6C5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Neutropenia (decreased white blood cell count)</w:t>
      </w:r>
      <w:r>
        <w:tab/>
      </w:r>
    </w:p>
    <w:p w14:paraId="3EF5ED1B" w14:textId="77777777" w:rsidR="00CB1D18" w:rsidRPr="009676B6" w:rsidRDefault="00CB1D18" w:rsidP="00CB1D18">
      <w:pPr>
        <w:pStyle w:val="NoSpacing"/>
        <w:numPr>
          <w:ilvl w:val="0"/>
          <w:numId w:val="23"/>
        </w:numPr>
      </w:pPr>
      <w:r>
        <w:t>Anemia</w:t>
      </w:r>
    </w:p>
    <w:p w14:paraId="2973D302" w14:textId="77777777" w:rsidR="00CB1D18" w:rsidRPr="004A03CD" w:rsidRDefault="00CB1D18" w:rsidP="00CB1D18">
      <w:pPr>
        <w:ind w:left="360"/>
      </w:pPr>
    </w:p>
    <w:p w14:paraId="5B72BA9B" w14:textId="77777777" w:rsidR="00CB1D18" w:rsidRDefault="00CB1D18" w:rsidP="00CB1D18">
      <w:pPr>
        <w:pStyle w:val="Heading2"/>
        <w:sectPr w:rsidR="00CB1D18" w:rsidSect="00CB1D18"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5B6DC611" w14:textId="77777777" w:rsidR="00CB1D18" w:rsidRDefault="00CB1D18" w:rsidP="00CB1D18">
      <w:pPr>
        <w:pStyle w:val="Heading3"/>
      </w:pPr>
      <w:r>
        <w:t>Special Notes</w:t>
      </w:r>
    </w:p>
    <w:p w14:paraId="3D1861F9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Take with food.</w:t>
      </w:r>
    </w:p>
    <w:p w14:paraId="6B73553C" w14:textId="77777777" w:rsidR="00CB1D18" w:rsidRDefault="00CB1D18" w:rsidP="00CB1D18">
      <w:pPr>
        <w:pStyle w:val="NoSpacing"/>
        <w:numPr>
          <w:ilvl w:val="0"/>
          <w:numId w:val="23"/>
        </w:numPr>
      </w:pPr>
      <w:r>
        <w:t xml:space="preserve">Swallow whole, do not chew, </w:t>
      </w:r>
      <w:proofErr w:type="gramStart"/>
      <w:r>
        <w:t>break</w:t>
      </w:r>
      <w:proofErr w:type="gramEnd"/>
      <w:r>
        <w:t xml:space="preserve"> or crush.</w:t>
      </w:r>
    </w:p>
    <w:p w14:paraId="4299DF73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Take at the same time every day.</w:t>
      </w:r>
    </w:p>
    <w:p w14:paraId="241E13F9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Drink lots of noncaffeine liquids while taking this medication.</w:t>
      </w:r>
    </w:p>
    <w:p w14:paraId="1B05F490" w14:textId="77777777" w:rsidR="00CB1D18" w:rsidRDefault="00CB1D18" w:rsidP="00CB1D18">
      <w:pPr>
        <w:pStyle w:val="NoSpacing"/>
      </w:pPr>
    </w:p>
    <w:p w14:paraId="783832B9" w14:textId="77777777" w:rsidR="00CB1D18" w:rsidRDefault="00CB1D18" w:rsidP="00CB1D18">
      <w:pPr>
        <w:pStyle w:val="NoSpacing"/>
      </w:pPr>
    </w:p>
    <w:p w14:paraId="2AD2FA65" w14:textId="104887B4" w:rsidR="00CB1D18" w:rsidRPr="004A03CD" w:rsidRDefault="00CB1D18" w:rsidP="00CB1D18">
      <w:pPr>
        <w:pStyle w:val="Heading2"/>
      </w:pPr>
      <w:r>
        <w:t>Diflucan/Fluconazole</w:t>
      </w:r>
      <w:r>
        <w:t xml:space="preserve"> (Anti-</w:t>
      </w:r>
      <w:r>
        <w:t>fungal</w:t>
      </w:r>
      <w:r>
        <w:t xml:space="preserve"> Medication)</w:t>
      </w:r>
    </w:p>
    <w:p w14:paraId="7ADCC28A" w14:textId="77777777" w:rsidR="00CB1D18" w:rsidRPr="00CB1D18" w:rsidRDefault="00CB1D18" w:rsidP="00CB1D18">
      <w:pPr>
        <w:pStyle w:val="Heading3"/>
      </w:pPr>
      <w:r>
        <w:t>Uses</w:t>
      </w:r>
    </w:p>
    <w:p w14:paraId="02201DC6" w14:textId="218DAAFB" w:rsidR="00CB1D18" w:rsidRDefault="00CB1D18" w:rsidP="00CB1D18">
      <w:r>
        <w:rPr>
          <w:bCs/>
        </w:rPr>
        <w:t>Diflucan/fluconazole is taken after transplant to prevent fungal infections.</w:t>
      </w:r>
    </w:p>
    <w:p w14:paraId="2522EF27" w14:textId="77777777" w:rsidR="00CB1D18" w:rsidRPr="004A03CD" w:rsidRDefault="00CB1D18" w:rsidP="00CB1D18"/>
    <w:p w14:paraId="483D63D1" w14:textId="77777777" w:rsidR="00CB1D18" w:rsidRPr="006159A5" w:rsidRDefault="00CB1D18" w:rsidP="00CB1D18">
      <w:pPr>
        <w:pStyle w:val="Heading3"/>
      </w:pPr>
      <w:r>
        <w:t>Schedule</w:t>
      </w:r>
    </w:p>
    <w:p w14:paraId="762B1FB1" w14:textId="6E26E3E0" w:rsidR="00CB1D18" w:rsidRDefault="00CB1D18" w:rsidP="00CB1D18">
      <w:r>
        <w:t>Dosing is once daily in the morning.</w:t>
      </w:r>
    </w:p>
    <w:p w14:paraId="6F6BB02D" w14:textId="77777777" w:rsidR="00CB1D18" w:rsidRPr="004A03CD" w:rsidRDefault="00CB1D18" w:rsidP="00CB1D18"/>
    <w:p w14:paraId="11529753" w14:textId="77777777" w:rsidR="00CB1D18" w:rsidRPr="004A03CD" w:rsidRDefault="00CB1D18" w:rsidP="00CB1D18">
      <w:pPr>
        <w:pStyle w:val="Heading3"/>
      </w:pPr>
      <w:r>
        <w:t>Possible Side Effects</w:t>
      </w:r>
    </w:p>
    <w:p w14:paraId="28841110" w14:textId="77777777" w:rsidR="00CB1D18" w:rsidRDefault="00CB1D18" w:rsidP="00CB1D18">
      <w:pPr>
        <w:pStyle w:val="Heading3"/>
        <w:sectPr w:rsidR="00CB1D18" w:rsidSect="00CB1D18">
          <w:headerReference w:type="first" r:id="rId18"/>
          <w:footerReference w:type="first" r:id="rId19"/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0723E2F2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Nausea</w:t>
      </w:r>
      <w:r>
        <w:tab/>
      </w:r>
      <w:r>
        <w:tab/>
      </w:r>
    </w:p>
    <w:p w14:paraId="06C6099A" w14:textId="77777777" w:rsidR="00CB1D18" w:rsidRDefault="00CB1D18" w:rsidP="00CB1D18">
      <w:pPr>
        <w:pStyle w:val="NoSpacing"/>
        <w:numPr>
          <w:ilvl w:val="0"/>
          <w:numId w:val="23"/>
        </w:numPr>
      </w:pPr>
      <w:r>
        <w:t>Headache</w:t>
      </w:r>
      <w:r>
        <w:tab/>
      </w:r>
    </w:p>
    <w:p w14:paraId="766B0872" w14:textId="77777777" w:rsidR="00CB1D18" w:rsidRPr="009676B6" w:rsidRDefault="00CB1D18" w:rsidP="00CB1D18">
      <w:pPr>
        <w:pStyle w:val="NoSpacing"/>
        <w:numPr>
          <w:ilvl w:val="0"/>
          <w:numId w:val="23"/>
        </w:numPr>
      </w:pPr>
      <w:r>
        <w:t>Dizziness</w:t>
      </w:r>
    </w:p>
    <w:p w14:paraId="6ABBCBC8" w14:textId="77777777" w:rsidR="00CB1D18" w:rsidRPr="004A03CD" w:rsidRDefault="00CB1D18" w:rsidP="00CB1D18">
      <w:pPr>
        <w:ind w:left="360"/>
      </w:pPr>
    </w:p>
    <w:p w14:paraId="4185A0EE" w14:textId="77777777" w:rsidR="00CB1D18" w:rsidRDefault="00CB1D18" w:rsidP="00CB1D18">
      <w:pPr>
        <w:pStyle w:val="Heading2"/>
        <w:sectPr w:rsidR="00CB1D18" w:rsidSect="00CB1D18"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3E7BAC2B" w14:textId="77777777" w:rsidR="00CB1D18" w:rsidRDefault="00CB1D18" w:rsidP="00CB1D18">
      <w:pPr>
        <w:pStyle w:val="Heading3"/>
      </w:pPr>
      <w:r>
        <w:t>Special Notes</w:t>
      </w:r>
    </w:p>
    <w:p w14:paraId="5A63CD52" w14:textId="2DF36EEA" w:rsidR="00CB1D18" w:rsidRPr="008F22F0" w:rsidRDefault="00CB1D18" w:rsidP="00CB1D18">
      <w:pPr>
        <w:pStyle w:val="NoSpacing"/>
        <w:numPr>
          <w:ilvl w:val="0"/>
          <w:numId w:val="23"/>
        </w:numPr>
      </w:pPr>
      <w:r>
        <w:t xml:space="preserve">Take with or without food. </w:t>
      </w:r>
    </w:p>
    <w:sectPr w:rsidR="00CB1D18" w:rsidRPr="008F22F0" w:rsidSect="008F22F0">
      <w:type w:val="continuous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6685" w14:textId="77777777" w:rsidR="009D7848" w:rsidRDefault="009D7848" w:rsidP="00567D1E">
      <w:r>
        <w:separator/>
      </w:r>
    </w:p>
  </w:endnote>
  <w:endnote w:type="continuationSeparator" w:id="0">
    <w:p w14:paraId="6C5E0128" w14:textId="77777777" w:rsidR="009D7848" w:rsidRDefault="009D7848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86FE" w14:textId="77777777" w:rsidR="00CB1D18" w:rsidRDefault="00CB1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F6BE" w14:textId="4E7DB69A" w:rsidR="00B41F45" w:rsidRPr="00567D1E" w:rsidRDefault="00B41F45" w:rsidP="00B41F45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ab/>
      <w:t>University of Rochester Medicine Advanced Heart Failure Program</w:t>
    </w:r>
  </w:p>
  <w:p w14:paraId="39784417" w14:textId="0EF21EB6" w:rsidR="00CB1D18" w:rsidRPr="00B41F45" w:rsidRDefault="00CB1D18" w:rsidP="00B41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7C49" w14:textId="77777777" w:rsidR="00CB1D18" w:rsidRDefault="00CB1D18" w:rsidP="00742540">
    <w:pPr>
      <w:pStyle w:val="Footer"/>
      <w:ind w:left="351"/>
    </w:pPr>
  </w:p>
  <w:p w14:paraId="732AC7BF" w14:textId="77777777" w:rsidR="00CB1D18" w:rsidRDefault="00CB1D18" w:rsidP="00742540">
    <w:pPr>
      <w:pStyle w:val="Footer"/>
      <w:ind w:left="35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C76B" w14:textId="77777777" w:rsidR="00CB1D18" w:rsidRDefault="00CB1D18" w:rsidP="00742540">
    <w:pPr>
      <w:pStyle w:val="Footer"/>
      <w:ind w:left="351"/>
    </w:pPr>
  </w:p>
  <w:p w14:paraId="5D3E43E3" w14:textId="77777777" w:rsidR="00CB1D18" w:rsidRDefault="00CB1D18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268E" w14:textId="77777777" w:rsidR="009D7848" w:rsidRDefault="009D7848" w:rsidP="00567D1E">
      <w:r>
        <w:separator/>
      </w:r>
    </w:p>
  </w:footnote>
  <w:footnote w:type="continuationSeparator" w:id="0">
    <w:p w14:paraId="64DFE99A" w14:textId="77777777" w:rsidR="009D7848" w:rsidRDefault="009D7848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81A5" w14:textId="77777777" w:rsidR="00CB1D18" w:rsidRDefault="00CB1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BFC3" w14:textId="77777777" w:rsidR="00CB1D18" w:rsidRDefault="00CB1D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6D48ABB6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7C4664A3" w:rsidR="00F87A3E" w:rsidRDefault="008F22F0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0468" w14:textId="77777777" w:rsidR="00CB1D18" w:rsidRDefault="00CB1D18">
    <w:pPr>
      <w:pStyle w:val="Header"/>
    </w:pPr>
  </w:p>
  <w:p w14:paraId="1ACFC3A1" w14:textId="77777777" w:rsidR="00CB1D18" w:rsidRDefault="00CB1D1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CB1D18" w14:paraId="55D41F20" w14:textId="77777777" w:rsidTr="0074338B">
      <w:tc>
        <w:tcPr>
          <w:tcW w:w="4320" w:type="dxa"/>
        </w:tcPr>
        <w:p w14:paraId="2F90B3A8" w14:textId="77777777" w:rsidR="00CB1D18" w:rsidRDefault="00CB1D18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1DBA1E82" wp14:editId="083113BB">
                <wp:extent cx="2500008" cy="911684"/>
                <wp:effectExtent l="0" t="0" r="1905" b="3175"/>
                <wp:docPr id="961183567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5D490866" w14:textId="77777777" w:rsidR="00CB1D18" w:rsidRDefault="00CB1D18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Advanced Heart Failure Program</w:t>
          </w:r>
        </w:p>
      </w:tc>
    </w:tr>
  </w:tbl>
  <w:p w14:paraId="45BAE1F2" w14:textId="77777777" w:rsidR="00CB1D18" w:rsidRDefault="00CB1D18" w:rsidP="00F87A3E">
    <w:pPr>
      <w:pStyle w:val="Header"/>
    </w:pPr>
  </w:p>
  <w:p w14:paraId="2D7ADA28" w14:textId="77777777" w:rsidR="00CB1D18" w:rsidRDefault="00CB1D18" w:rsidP="000A7658">
    <w:pPr>
      <w:pStyle w:val="Header"/>
      <w:ind w:left="1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D56" w14:textId="77777777" w:rsidR="00CB1D18" w:rsidRDefault="00CB1D18">
    <w:pPr>
      <w:pStyle w:val="Header"/>
    </w:pPr>
  </w:p>
  <w:p w14:paraId="5D2EDDE0" w14:textId="77777777" w:rsidR="00CB1D18" w:rsidRDefault="00CB1D1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CB1D18" w14:paraId="44186388" w14:textId="77777777" w:rsidTr="0074338B">
      <w:tc>
        <w:tcPr>
          <w:tcW w:w="4320" w:type="dxa"/>
        </w:tcPr>
        <w:p w14:paraId="6A02BEDA" w14:textId="77777777" w:rsidR="00CB1D18" w:rsidRDefault="00CB1D18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1D9D1E48" wp14:editId="2F9F7611">
                <wp:extent cx="2500008" cy="911684"/>
                <wp:effectExtent l="0" t="0" r="1905" b="3175"/>
                <wp:docPr id="1535438160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0660A14B" w14:textId="77777777" w:rsidR="00CB1D18" w:rsidRDefault="00CB1D18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Advanced Heart Failure Program</w:t>
          </w:r>
        </w:p>
      </w:tc>
    </w:tr>
  </w:tbl>
  <w:p w14:paraId="76AF3577" w14:textId="77777777" w:rsidR="00CB1D18" w:rsidRDefault="00CB1D18" w:rsidP="00F87A3E">
    <w:pPr>
      <w:pStyle w:val="Header"/>
    </w:pPr>
  </w:p>
  <w:p w14:paraId="3AA30700" w14:textId="77777777" w:rsidR="00CB1D18" w:rsidRDefault="00CB1D1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B1B0C"/>
    <w:multiLevelType w:val="hybridMultilevel"/>
    <w:tmpl w:val="E1588EF4"/>
    <w:lvl w:ilvl="0" w:tplc="A0A08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20"/>
  </w:num>
  <w:num w:numId="2" w16cid:durableId="2069299965">
    <w:abstractNumId w:val="6"/>
  </w:num>
  <w:num w:numId="3" w16cid:durableId="1521627326">
    <w:abstractNumId w:val="11"/>
  </w:num>
  <w:num w:numId="4" w16cid:durableId="386997529">
    <w:abstractNumId w:val="3"/>
  </w:num>
  <w:num w:numId="5" w16cid:durableId="58090697">
    <w:abstractNumId w:val="14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6"/>
  </w:num>
  <w:num w:numId="10" w16cid:durableId="1234704697">
    <w:abstractNumId w:val="17"/>
  </w:num>
  <w:num w:numId="11" w16cid:durableId="562519463">
    <w:abstractNumId w:val="1"/>
  </w:num>
  <w:num w:numId="12" w16cid:durableId="378473967">
    <w:abstractNumId w:val="12"/>
  </w:num>
  <w:num w:numId="13" w16cid:durableId="795638834">
    <w:abstractNumId w:val="15"/>
  </w:num>
  <w:num w:numId="14" w16cid:durableId="786042585">
    <w:abstractNumId w:val="18"/>
  </w:num>
  <w:num w:numId="15" w16cid:durableId="21369398">
    <w:abstractNumId w:val="19"/>
  </w:num>
  <w:num w:numId="16" w16cid:durableId="423652496">
    <w:abstractNumId w:val="7"/>
  </w:num>
  <w:num w:numId="17" w16cid:durableId="1915506441">
    <w:abstractNumId w:val="13"/>
  </w:num>
  <w:num w:numId="18" w16cid:durableId="2002346909">
    <w:abstractNumId w:val="10"/>
  </w:num>
  <w:num w:numId="19" w16cid:durableId="1138375813">
    <w:abstractNumId w:val="21"/>
  </w:num>
  <w:num w:numId="20" w16cid:durableId="1741709709">
    <w:abstractNumId w:val="5"/>
  </w:num>
  <w:num w:numId="21" w16cid:durableId="563685351">
    <w:abstractNumId w:val="22"/>
  </w:num>
  <w:num w:numId="22" w16cid:durableId="2034921632">
    <w:abstractNumId w:val="0"/>
  </w:num>
  <w:num w:numId="23" w16cid:durableId="1587570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52EE5"/>
    <w:rsid w:val="001D5E9E"/>
    <w:rsid w:val="0023171B"/>
    <w:rsid w:val="00287DE2"/>
    <w:rsid w:val="002C4303"/>
    <w:rsid w:val="002D659F"/>
    <w:rsid w:val="002D6AF5"/>
    <w:rsid w:val="002E3133"/>
    <w:rsid w:val="00366C43"/>
    <w:rsid w:val="003A3989"/>
    <w:rsid w:val="003E60B3"/>
    <w:rsid w:val="00486630"/>
    <w:rsid w:val="004940EF"/>
    <w:rsid w:val="004C6CE2"/>
    <w:rsid w:val="00516103"/>
    <w:rsid w:val="0055709C"/>
    <w:rsid w:val="00567D1E"/>
    <w:rsid w:val="005A11C2"/>
    <w:rsid w:val="006278C7"/>
    <w:rsid w:val="00686BD2"/>
    <w:rsid w:val="00711207"/>
    <w:rsid w:val="007220E5"/>
    <w:rsid w:val="00735764"/>
    <w:rsid w:val="00740924"/>
    <w:rsid w:val="00742540"/>
    <w:rsid w:val="0074338B"/>
    <w:rsid w:val="007767D1"/>
    <w:rsid w:val="00856059"/>
    <w:rsid w:val="00872B4E"/>
    <w:rsid w:val="008C716C"/>
    <w:rsid w:val="008F22F0"/>
    <w:rsid w:val="009133CB"/>
    <w:rsid w:val="00917305"/>
    <w:rsid w:val="0092715A"/>
    <w:rsid w:val="009650B1"/>
    <w:rsid w:val="00980807"/>
    <w:rsid w:val="009B6D18"/>
    <w:rsid w:val="009D10DA"/>
    <w:rsid w:val="009D7848"/>
    <w:rsid w:val="00A270D6"/>
    <w:rsid w:val="00A579E5"/>
    <w:rsid w:val="00A607A3"/>
    <w:rsid w:val="00AC5AF2"/>
    <w:rsid w:val="00AC6460"/>
    <w:rsid w:val="00AD0B91"/>
    <w:rsid w:val="00AF4232"/>
    <w:rsid w:val="00AF70DD"/>
    <w:rsid w:val="00B41F45"/>
    <w:rsid w:val="00B57811"/>
    <w:rsid w:val="00BE5643"/>
    <w:rsid w:val="00C42278"/>
    <w:rsid w:val="00C76F9B"/>
    <w:rsid w:val="00CB1D18"/>
    <w:rsid w:val="00D358D1"/>
    <w:rsid w:val="00D755C3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semiHidden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3</cp:revision>
  <dcterms:created xsi:type="dcterms:W3CDTF">2026-05-12T20:51:00Z</dcterms:created>
  <dcterms:modified xsi:type="dcterms:W3CDTF">2026-05-13T14:43:00Z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